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DF86B10" w14:textId="657D5E6C" w:rsidR="00513D43" w:rsidRPr="006D1AF1" w:rsidRDefault="00513D43" w:rsidP="00EE764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9A287CB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АЗЭ-ЛОТ/25-4796</w:t>
      </w:r>
    </w:p>
    <w:p w14:paraId="08C1CB8A" w14:textId="77777777" w:rsidR="00884E19" w:rsidRDefault="00205494" w:rsidP="0093166E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2B1512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  <w:lang w:eastAsia="ru-RU"/>
        </w:rPr>
        <w:t xml:space="preserve">находящегося </w:t>
      </w:r>
    </w:p>
    <w:p w14:paraId="3C0B1D99" w14:textId="77777777" w:rsidR="00884E19" w:rsidRDefault="00205494" w:rsidP="0093166E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в муниципальной собственности, </w:t>
      </w:r>
      <w:r w:rsidR="00CF464F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325362" w:rsidRPr="00325362">
        <w:rPr>
          <w:color w:val="0000FF"/>
          <w:sz w:val="28"/>
          <w:szCs w:val="28"/>
          <w:lang w:eastAsia="ru-RU"/>
        </w:rPr>
        <w:t>:</w:t>
      </w:r>
      <w:r w:rsidR="00CF464F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м.о Лотошино,</w:t>
      </w:r>
      <w:r>
        <w:rPr>
          <w:color w:val="0000FF"/>
          <w:sz w:val="28"/>
          <w:szCs w:val="28"/>
          <w:lang w:eastAsia="ru-RU"/>
        </w:rPr>
        <w:t xml:space="preserve"> </w:t>
      </w:r>
    </w:p>
    <w:p w14:paraId="048632ED" w14:textId="1D9B2221" w:rsidR="00CA0B6F" w:rsidRPr="00370C0F" w:rsidRDefault="00205494" w:rsidP="0093166E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вид разрешенного использования:</w:t>
      </w:r>
      <w:r>
        <w:rPr>
          <w:color w:val="0000FF"/>
          <w:sz w:val="28"/>
          <w:szCs w:val="28"/>
        </w:rPr>
        <w:t xml:space="preserve"> Обеспечение сельскохозяйственного производства</w:t>
      </w:r>
    </w:p>
    <w:p w14:paraId="01921061" w14:textId="77777777" w:rsidR="00573CEE" w:rsidRPr="00370C0F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5B541AD5" w14:textId="6D88B3BC" w:rsidR="00ED4FF1" w:rsidRDefault="00ED4FF1" w:rsidP="0038175F">
      <w:pPr>
        <w:autoSpaceDE w:val="0"/>
        <w:jc w:val="center"/>
      </w:pP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052FAA" w:rsidRPr="00367C74" w14:paraId="1C082F61" w14:textId="77777777" w:rsidTr="00B93413">
        <w:tc>
          <w:tcPr>
            <w:tcW w:w="5352" w:type="dxa"/>
          </w:tcPr>
          <w:p w14:paraId="27FE39EB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40ED3B32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804D264" w14:textId="634B58C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00300060124340</w:t>
            </w:r>
          </w:p>
        </w:tc>
      </w:tr>
      <w:tr w:rsidR="00052FAA" w:rsidRPr="00367C74" w14:paraId="2C52B236" w14:textId="77777777" w:rsidTr="00B93413">
        <w:tc>
          <w:tcPr>
            <w:tcW w:w="5352" w:type="dxa"/>
          </w:tcPr>
          <w:p w14:paraId="5F00AD55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20E08571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06C0D9A" w14:textId="68F2FFE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29.09.2025</w:t>
            </w:r>
          </w:p>
        </w:tc>
      </w:tr>
      <w:tr w:rsidR="00052FAA" w:rsidRPr="00367C74" w14:paraId="57B65B56" w14:textId="77777777" w:rsidTr="00B93413">
        <w:tc>
          <w:tcPr>
            <w:tcW w:w="5352" w:type="dxa"/>
          </w:tcPr>
          <w:p w14:paraId="3806823A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35C38A15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9951794" w14:textId="6D45C12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24.10.2025</w:t>
            </w:r>
          </w:p>
        </w:tc>
      </w:tr>
      <w:tr w:rsidR="00052FAA" w:rsidRPr="00367C74" w14:paraId="43D59173" w14:textId="77777777" w:rsidTr="00B93413">
        <w:tc>
          <w:tcPr>
            <w:tcW w:w="5352" w:type="dxa"/>
          </w:tcPr>
          <w:p w14:paraId="2ACB482E" w14:textId="4B03D63C" w:rsidR="00052FAA" w:rsidRPr="00367C74" w:rsidRDefault="00052FAA" w:rsidP="00A30FC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CB0FD0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539CDCF5" w14:textId="5A9771C5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28.10.2025</w:t>
            </w:r>
          </w:p>
        </w:tc>
      </w:tr>
      <w:tr w:rsidR="00052FAA" w14:paraId="03E39395" w14:textId="77777777" w:rsidTr="00B93413">
        <w:tc>
          <w:tcPr>
            <w:tcW w:w="5352" w:type="dxa"/>
          </w:tcPr>
          <w:p w14:paraId="7339B893" w14:textId="7B9C17BB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086ACA67" w14:textId="1C248A3B" w:rsidR="00052FAA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1114A18D" w14:textId="77777777" w:rsidR="008E03F8" w:rsidRDefault="008E03F8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081E54C7" w:rsidR="00AD04C9" w:rsidRDefault="00AD04C9" w:rsidP="00AD04C9">
      <w:pPr>
        <w:autoSpaceDE w:val="0"/>
        <w:rPr>
          <w:bCs/>
          <w:sz w:val="26"/>
          <w:szCs w:val="26"/>
        </w:rPr>
      </w:pPr>
    </w:p>
    <w:p w14:paraId="0EA713AA" w14:textId="77777777" w:rsidR="00370C0F" w:rsidRDefault="00370C0F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494966C0" w14:textId="1FF7A4F9" w:rsidR="00AD04C9" w:rsidRDefault="00AD04C9" w:rsidP="00AD04C9">
      <w:pPr>
        <w:autoSpaceDE w:val="0"/>
        <w:rPr>
          <w:bCs/>
          <w:sz w:val="26"/>
          <w:szCs w:val="26"/>
        </w:rPr>
      </w:pPr>
    </w:p>
    <w:p w14:paraId="6677C3EA" w14:textId="11549D9D" w:rsidR="0038175F" w:rsidRPr="00331907" w:rsidRDefault="0038175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100C6979" w14:textId="2E1EC8EA" w:rsidR="00AB5E0E" w:rsidRPr="00004283" w:rsidRDefault="00AB5E0E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</w:t>
      </w:r>
      <w:r w:rsidRPr="000E3CE0">
        <w:rPr>
          <w:iCs/>
          <w:sz w:val="22"/>
          <w:szCs w:val="22"/>
        </w:rPr>
        <w:t>укцион в электронной форме,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и по составу участников</w:t>
      </w:r>
      <w:r w:rsidRPr="00E10355"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(далее – аукцион)</w:t>
      </w:r>
      <w:r w:rsidR="002E011E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и проводится в </w:t>
      </w:r>
      <w:r w:rsidRPr="00473E26">
        <w:rPr>
          <w:iCs/>
          <w:sz w:val="22"/>
          <w:szCs w:val="22"/>
        </w:rPr>
        <w:t>соответствии с требованиями:</w:t>
      </w:r>
    </w:p>
    <w:p w14:paraId="16339448" w14:textId="0FBE80DE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Гражданского кодекса Российской Федерации;</w:t>
      </w:r>
    </w:p>
    <w:p w14:paraId="53CC43BB" w14:textId="1A627A13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Земельного кодекса Российской Федерации;</w:t>
      </w:r>
    </w:p>
    <w:p w14:paraId="5E4F31E7" w14:textId="4EF1F1EF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Федерального закона от 26.07.2006 № 135 - ФЗ «О защите конкуренции»;</w:t>
      </w:r>
    </w:p>
    <w:p w14:paraId="0FA9E25F" w14:textId="6B3DC441" w:rsidR="00AB5E0E" w:rsidRPr="00473E26" w:rsidRDefault="00AB5E0E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 Федеральн</w:t>
      </w:r>
      <w:r>
        <w:rPr>
          <w:iCs/>
          <w:sz w:val="22"/>
          <w:szCs w:val="22"/>
        </w:rPr>
        <w:t>ого</w:t>
      </w:r>
      <w:r w:rsidRPr="00473E26">
        <w:rPr>
          <w:iCs/>
          <w:sz w:val="22"/>
          <w:szCs w:val="22"/>
        </w:rPr>
        <w:t xml:space="preserve"> закон</w:t>
      </w:r>
      <w:r>
        <w:rPr>
          <w:iCs/>
          <w:sz w:val="22"/>
          <w:szCs w:val="22"/>
        </w:rPr>
        <w:t>а</w:t>
      </w:r>
      <w:r w:rsidR="006E2F8A">
        <w:rPr>
          <w:iCs/>
          <w:sz w:val="22"/>
          <w:szCs w:val="22"/>
        </w:rPr>
        <w:t xml:space="preserve"> от 24.07.2002</w:t>
      </w:r>
      <w:r w:rsidRPr="00473E26">
        <w:rPr>
          <w:iCs/>
          <w:sz w:val="22"/>
          <w:szCs w:val="22"/>
        </w:rPr>
        <w:t xml:space="preserve"> № 101-ФЗ «Об обороте земель сельскохозяйственного назначения»;</w:t>
      </w:r>
    </w:p>
    <w:p w14:paraId="7B02BD12" w14:textId="7DD99102" w:rsidR="00362F1D" w:rsidRPr="000E3CE0" w:rsidRDefault="00362F1D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62F1D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4C13652A" w14:textId="77777777" w:rsidR="00AB5E0E" w:rsidRPr="000E3CE0" w:rsidRDefault="00AB5E0E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72305CFB" w14:textId="427B5320" w:rsidR="00D86725" w:rsidRPr="00205494" w:rsidRDefault="004C2CDD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</w:t>
      </w:r>
      <w:r w:rsidR="00D86725" w:rsidRPr="00CA0B6F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</w:t>
      </w:r>
      <w:r w:rsidR="009D478B" w:rsidRPr="00CA0B6F">
        <w:rPr>
          <w:color w:val="0000FF"/>
          <w:sz w:val="22"/>
          <w:szCs w:val="22"/>
          <w:lang w:eastAsia="ru-RU"/>
        </w:rPr>
        <w:t xml:space="preserve">осковской области </w:t>
      </w:r>
      <w:r w:rsidR="00F910A5">
        <w:rPr>
          <w:color w:val="0000FF"/>
          <w:sz w:val="22"/>
          <w:szCs w:val="22"/>
          <w:lang w:eastAsia="ru-RU"/>
        </w:rPr>
        <w:br/>
      </w:r>
      <w:r w:rsidR="009D478B"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23.09.2025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9D478B" w:rsidRPr="00CA0B6F">
        <w:rPr>
          <w:color w:val="0000FF"/>
          <w:sz w:val="22"/>
          <w:szCs w:val="22"/>
          <w:lang w:eastAsia="ru-RU"/>
        </w:rPr>
        <w:t>№</w:t>
      </w:r>
      <w:r w:rsidR="00E35516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178-З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137AAF">
        <w:rPr>
          <w:color w:val="0000FF"/>
          <w:sz w:val="22"/>
          <w:szCs w:val="22"/>
          <w:lang w:eastAsia="ru-RU"/>
        </w:rPr>
        <w:t xml:space="preserve">п. </w:t>
      </w:r>
      <w:r>
        <w:rPr>
          <w:color w:val="0000FF"/>
          <w:sz w:val="22"/>
          <w:szCs w:val="22"/>
          <w:lang w:eastAsia="ru-RU"/>
        </w:rPr>
        <w:t>246</w:t>
      </w:r>
      <w:r w:rsidR="00205494" w:rsidRPr="00205494">
        <w:rPr>
          <w:color w:val="0000FF"/>
          <w:sz w:val="22"/>
          <w:szCs w:val="22"/>
          <w:lang w:eastAsia="ru-RU"/>
        </w:rPr>
        <w:t>;</w:t>
      </w:r>
    </w:p>
    <w:p w14:paraId="4C979EFB" w14:textId="68DACBEB" w:rsidR="004F5A3B" w:rsidRPr="005729D1" w:rsidRDefault="00137AAF" w:rsidP="002E72B5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57BD4737" w:rsidR="00DC1D6B" w:rsidRPr="000E3CE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146D55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146D55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6AFAEB29" w14:textId="77777777" w:rsidR="00884E19" w:rsidRDefault="00EE7642" w:rsidP="0061285E">
      <w:pPr>
        <w:suppressAutoHyphens w:val="0"/>
        <w:autoSpaceDE w:val="0"/>
        <w:autoSpaceDN w:val="0"/>
        <w:adjustRightInd w:val="0"/>
        <w:spacing w:line="276" w:lineRule="auto"/>
        <w:rPr>
          <w:b/>
          <w:color w:val="0000FF"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 xml:space="preserve">КОМИТЕТ ПО УПРАВЛЕНИЮ ИМУЩЕСТВОМ АДМИНИСТРАЦИИ </w:t>
      </w:r>
    </w:p>
    <w:p w14:paraId="153EA6F4" w14:textId="647B5864" w:rsidR="00565C6B" w:rsidRPr="005729D1" w:rsidRDefault="00EE7642" w:rsidP="0061285E">
      <w:pPr>
        <w:suppressAutoHyphens w:val="0"/>
        <w:autoSpaceDE w:val="0"/>
        <w:autoSpaceDN w:val="0"/>
        <w:adjustRightInd w:val="0"/>
        <w:spacing w:line="276" w:lineRule="auto"/>
        <w:rPr>
          <w:b/>
          <w:noProof/>
          <w:sz w:val="22"/>
          <w:szCs w:val="22"/>
        </w:rPr>
      </w:pPr>
      <w:r>
        <w:rPr>
          <w:b/>
          <w:color w:val="0000FF"/>
          <w:sz w:val="22"/>
          <w:szCs w:val="22"/>
        </w:rPr>
        <w:t>МУНИЦИПАЛЬНОГО ОКРУГА ЛОТОШИНО МОСКОВСКОЙ ОБЛАСТИ</w:t>
      </w:r>
    </w:p>
    <w:p w14:paraId="526A85C8" w14:textId="59D7FBF7" w:rsidR="00B403F7" w:rsidRDefault="0061285E" w:rsidP="0061285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Российская Федерация, 143800, Московская обл, Лотошино рп, УЛИЦА ЦЕНТРАЛЬНАЯ, ДОМ 18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http://www.лотошинье.рф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komui@mail.ru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7-496-2871560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00022F3E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4A367D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4A367D" w:rsidRPr="00997183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7F367BB8" w:rsidR="008C0293" w:rsidRPr="000E3CE0" w:rsidRDefault="001619F4" w:rsidP="00E91D52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bookmarkStart w:id="9" w:name="_Hlk130980373"/>
      <w:r w:rsidR="007A7A69" w:rsidRPr="007A7A69">
        <w:rPr>
          <w:b/>
          <w:noProof/>
          <w:sz w:val="22"/>
          <w:szCs w:val="22"/>
          <w:lang w:eastAsia="en-US"/>
        </w:rPr>
        <w:t xml:space="preserve"> </w:t>
      </w:r>
      <w:r w:rsidR="007A7A69" w:rsidRPr="007A7A69">
        <w:rPr>
          <w:noProof/>
          <w:sz w:val="22"/>
          <w:szCs w:val="22"/>
        </w:rPr>
        <w:t>(далее – Оператор электронной площадки)</w:t>
      </w:r>
      <w:bookmarkEnd w:id="9"/>
      <w:r w:rsidR="007A7A69">
        <w:rPr>
          <w:noProof/>
          <w:sz w:val="22"/>
          <w:szCs w:val="22"/>
        </w:rPr>
        <w:t xml:space="preserve"> 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</w:t>
      </w:r>
      <w:r w:rsidR="00E91D52">
        <w:rPr>
          <w:noProof/>
          <w:sz w:val="22"/>
          <w:szCs w:val="22"/>
          <w:lang w:eastAsia="en-US"/>
        </w:rPr>
        <w:t xml:space="preserve">адкой, в том числе необходимыми </w:t>
      </w:r>
      <w:r w:rsidR="00FD6D6C" w:rsidRPr="004D2F4F">
        <w:rPr>
          <w:noProof/>
          <w:sz w:val="22"/>
          <w:szCs w:val="22"/>
          <w:lang w:eastAsia="en-US"/>
        </w:rPr>
        <w:t>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площадок, предусмотренных Федеральными 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7EA5A281" w:rsidR="00B078DB" w:rsidRPr="00B078DB" w:rsidRDefault="009150A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6E476102" w:rsidR="00CC3413" w:rsidRDefault="008E19A1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26FBDDBA" w14:textId="77777777" w:rsidR="00884E19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находящегося</w:t>
      </w:r>
    </w:p>
    <w:p w14:paraId="2A0019F8" w14:textId="77777777" w:rsidR="00884E19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в муниципальной собственности: м.о Лотошино</w:t>
      </w:r>
      <w:r w:rsidR="006461AC" w:rsidRPr="006461AC">
        <w:rPr>
          <w:color w:val="0000FF"/>
          <w:sz w:val="22"/>
          <w:szCs w:val="22"/>
        </w:rPr>
        <w:t>,</w:t>
      </w:r>
      <w:r w:rsidR="00202197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расположенного на территории</w:t>
      </w:r>
      <w:r w:rsidR="00E3686F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м.о Лотошино</w:t>
      </w:r>
    </w:p>
    <w:p w14:paraId="7E85C744" w14:textId="0CFB9141" w:rsidR="006D02A8" w:rsidRPr="005729D1" w:rsidRDefault="00205494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370C0F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Лотошинский район, деревня Кузяево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33582E64" w14:textId="77777777" w:rsidR="009150AB" w:rsidRPr="000E3CE0" w:rsidRDefault="009150AB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93 819,00</w:t>
      </w:r>
    </w:p>
    <w:p w14:paraId="58F89229" w14:textId="77777777" w:rsidR="009150AB" w:rsidRPr="000E3CE0" w:rsidRDefault="009150A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07746F3D" w:rsidR="00242F27" w:rsidRPr="00B078DB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50:02:0000000:8583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сельскохозяйственного назначения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50EE898A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Обеспечение сельскохозяйственного производства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701A384E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находится в муниципальной собственности: м.о Лотошино</w:t>
      </w:r>
      <w:r w:rsidR="00303BD9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455CD2">
        <w:rPr>
          <w:color w:val="0000FF"/>
          <w:sz w:val="22"/>
          <w:szCs w:val="22"/>
          <w:lang w:eastAsia="ru-RU"/>
        </w:rPr>
        <w:t xml:space="preserve"> (прилагается)</w:t>
      </w:r>
      <w:r w:rsidR="00227F45">
        <w:rPr>
          <w:color w:val="0000FF"/>
          <w:sz w:val="22"/>
          <w:szCs w:val="22"/>
        </w:rPr>
        <w:t xml:space="preserve"> 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3B947A9" w14:textId="7A663601" w:rsidR="002D38D4" w:rsidRDefault="009409B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778E98CF" w14:textId="2C885277" w:rsidR="00441E83" w:rsidRPr="00320D58" w:rsidRDefault="00441E83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5EA40721" w14:textId="77777777" w:rsidR="00441E83" w:rsidRPr="00441E83" w:rsidRDefault="00441E83" w:rsidP="00441E8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6FF5134" w14:textId="77777777" w:rsidR="00C97948" w:rsidRPr="00BC0170" w:rsidRDefault="00C97948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7B489698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>
        <w:rPr>
          <w:color w:val="0000FF"/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2A764828" w:rsidR="00137AAF" w:rsidRPr="00285045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487DE6">
        <w:rPr>
          <w:color w:val="0000FF"/>
          <w:sz w:val="22"/>
          <w:szCs w:val="22"/>
        </w:rPr>
        <w:t xml:space="preserve"> </w:t>
      </w:r>
      <w:r w:rsidR="00487DE6" w:rsidRPr="0095799D">
        <w:rPr>
          <w:color w:val="0000FF"/>
          <w:sz w:val="22"/>
          <w:szCs w:val="22"/>
        </w:rPr>
        <w:t xml:space="preserve">указаны </w:t>
      </w:r>
      <w:r w:rsidR="00487D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487D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lastRenderedPageBreak/>
        <w:t xml:space="preserve"> </w:t>
      </w:r>
    </w:p>
    <w:p w14:paraId="02D23685" w14:textId="4CB280F4" w:rsidR="0032601E" w:rsidRDefault="004C2FAC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</w:t>
      </w:r>
      <w:r w:rsidR="000869CB" w:rsidRPr="000869CB">
        <w:rPr>
          <w:b/>
          <w:sz w:val="22"/>
          <w:szCs w:val="22"/>
        </w:rPr>
        <w:t xml:space="preserve">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0869CB" w:rsidRPr="000869CB">
        <w:rPr>
          <w:color w:val="0000FF"/>
          <w:sz w:val="22"/>
          <w:szCs w:val="22"/>
        </w:rPr>
        <w:t xml:space="preserve"> (прилагаются).</w:t>
      </w:r>
      <w:r w:rsidR="005D3944">
        <w:rPr>
          <w:rStyle w:val="ab"/>
          <w:color w:val="0000FF"/>
          <w:sz w:val="22"/>
          <w:szCs w:val="22"/>
        </w:rPr>
        <w:footnoteReference w:id="1"/>
      </w:r>
    </w:p>
    <w:p w14:paraId="7E8AF00B" w14:textId="77777777" w:rsidR="000869CB" w:rsidRPr="003D2160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FE86837" w14:textId="77777777" w:rsidR="009477EE" w:rsidRDefault="009477EE" w:rsidP="009477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49 лет   </w:t>
      </w:r>
    </w:p>
    <w:p w14:paraId="2691514B" w14:textId="77777777" w:rsidR="009477EE" w:rsidRPr="009477EE" w:rsidRDefault="009477E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2 223,51 руб. (Две тысячи двести двадцать три руб. 51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66,70 руб. (Шестьдесят шесть руб. 70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444,70 руб. (Четыреста сорок четыре руб. 70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12DB9AD9" w14:textId="77777777" w:rsidR="00201F8C" w:rsidRPr="009477EE" w:rsidRDefault="00201F8C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A5CBD6C" w14:textId="77777777" w:rsidR="00201F8C" w:rsidRPr="007B5BCA" w:rsidRDefault="00201F8C" w:rsidP="00201F8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1274A38" w14:textId="77777777" w:rsidR="005D3944" w:rsidRPr="003D2160" w:rsidRDefault="005D3944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794BF231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6FD39CAA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4F1A3CBC" w14:textId="191CE3FF" w:rsidR="00FD4227" w:rsidRPr="00202442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3D2160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805565" w14:textId="77777777" w:rsidR="00FD4227" w:rsidRPr="00FD4227" w:rsidRDefault="00FD4227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B98580E" w14:textId="77777777" w:rsidR="00D81349" w:rsidRPr="00D81349" w:rsidRDefault="00D81349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478C5A0F" w:rsidR="00FA27BE" w:rsidRPr="000E3CE0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29.09.2025 09:00</w:t>
      </w:r>
      <w:r w:rsidR="00FA27BE" w:rsidRPr="000E3CE0">
        <w:rPr>
          <w:b/>
          <w:sz w:val="22"/>
          <w:szCs w:val="22"/>
        </w:rPr>
        <w:t>.</w:t>
      </w:r>
      <w:r w:rsidR="005504D8">
        <w:rPr>
          <w:rStyle w:val="ab"/>
          <w:b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C4C479E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24.10.2025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03215BF9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8973D5">
        <w:rPr>
          <w:b/>
          <w:bCs/>
          <w:sz w:val="22"/>
          <w:szCs w:val="22"/>
        </w:rPr>
        <w:t>ата</w:t>
      </w:r>
      <w:r w:rsidR="00670216" w:rsidRPr="000E3CE0">
        <w:rPr>
          <w:b/>
          <w:bCs/>
          <w:sz w:val="22"/>
          <w:szCs w:val="22"/>
        </w:rPr>
        <w:t xml:space="preserve"> 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>27.10.2025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054B8C92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>
        <w:rPr>
          <w:b/>
          <w:color w:val="0000FF"/>
          <w:sz w:val="22"/>
          <w:szCs w:val="22"/>
        </w:rPr>
        <w:t>28.10.2025 12:00</w:t>
      </w:r>
      <w:r w:rsidRPr="00EE6C3F">
        <w:rPr>
          <w:b/>
          <w:color w:val="0000FF"/>
          <w:sz w:val="22"/>
          <w:szCs w:val="22"/>
        </w:rPr>
        <w:t>.</w:t>
      </w:r>
    </w:p>
    <w:p w14:paraId="56914C8E" w14:textId="77777777" w:rsidR="00EA7E34" w:rsidRDefault="00EA7E34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50542E59" w14:textId="77777777" w:rsidR="00276736" w:rsidRDefault="00276736" w:rsidP="0027673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F9248FF" w14:textId="77777777" w:rsidR="00B00477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Арендодателя http://www.лотошинье.рф.</w:t>
      </w:r>
    </w:p>
    <w:p w14:paraId="3A073F4B" w14:textId="77777777" w:rsidR="00B00477" w:rsidRPr="001A3ECE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58AB83EE" w14:textId="7F5F0EF3" w:rsidR="001C4119" w:rsidRPr="00F03412" w:rsidRDefault="001C4119" w:rsidP="00B0047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46F137D9" w14:textId="77777777" w:rsidR="001C4119" w:rsidRPr="00F03412" w:rsidRDefault="001C4119" w:rsidP="001C411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EF8595F" w14:textId="77777777" w:rsidR="001C4119" w:rsidRPr="00320FAF" w:rsidRDefault="001C4119" w:rsidP="00320FA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0FAF">
        <w:rPr>
          <w:color w:val="FF0000"/>
          <w:sz w:val="22"/>
          <w:szCs w:val="22"/>
        </w:rPr>
        <w:t xml:space="preserve">Важно! </w:t>
      </w:r>
      <w:r w:rsidRPr="00320FAF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8896DAD" w14:textId="77777777" w:rsidR="001C4119" w:rsidRPr="00320FAF" w:rsidRDefault="001C4119" w:rsidP="00320FAF">
      <w:pPr>
        <w:ind w:firstLine="426"/>
        <w:jc w:val="both"/>
        <w:rPr>
          <w:b/>
          <w:sz w:val="22"/>
          <w:szCs w:val="22"/>
        </w:rPr>
      </w:pPr>
      <w:r w:rsidRPr="00320FAF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12D34D4" w14:textId="651AB155" w:rsidR="007664D1" w:rsidRPr="000F5E02" w:rsidRDefault="00411740" w:rsidP="00411740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F38BA62" w14:textId="0DD101B4" w:rsidR="00044FA0" w:rsidRPr="0072481B" w:rsidRDefault="0072481B" w:rsidP="008973D5">
      <w:pPr>
        <w:spacing w:line="276" w:lineRule="auto"/>
        <w:ind w:firstLine="426"/>
        <w:jc w:val="both"/>
        <w:rPr>
          <w:sz w:val="22"/>
          <w:szCs w:val="22"/>
          <w:lang w:val="x-none"/>
        </w:rPr>
      </w:pPr>
      <w:r w:rsidRPr="0072481B">
        <w:rPr>
          <w:sz w:val="22"/>
          <w:szCs w:val="22"/>
        </w:rPr>
        <w:t xml:space="preserve"> </w:t>
      </w:r>
      <w:r w:rsidRPr="002D2DD0">
        <w:rPr>
          <w:sz w:val="22"/>
          <w:szCs w:val="22"/>
        </w:rPr>
        <w:t>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претендующий(ие) на заключение договора аренды Земельного участка, имеющий(ие)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прошедший(ие) регистрацию (аккред</w:t>
      </w:r>
      <w:r>
        <w:rPr>
          <w:sz w:val="22"/>
          <w:szCs w:val="22"/>
        </w:rPr>
        <w:t xml:space="preserve">итацию) на электронной площадке в </w:t>
      </w:r>
      <w:r w:rsidRPr="002D2DD0">
        <w:rPr>
          <w:sz w:val="22"/>
          <w:szCs w:val="22"/>
        </w:rPr>
        <w:t>соответствии с Регламентом и Инструкциями</w:t>
      </w:r>
      <w:r>
        <w:rPr>
          <w:sz w:val="22"/>
          <w:szCs w:val="22"/>
        </w:rPr>
        <w:t>.</w:t>
      </w:r>
    </w:p>
    <w:p w14:paraId="459071B2" w14:textId="77777777" w:rsidR="00A66BC5" w:rsidRPr="00A66BC5" w:rsidRDefault="00A66BC5" w:rsidP="00A66BC5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21476BC0" w14:textId="6F0C9E03" w:rsidR="00A03716" w:rsidRPr="000E3CE0" w:rsidRDefault="00C9446C" w:rsidP="004C408F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5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>олучени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C421CD" w:rsidRPr="000E3CE0">
        <w:rPr>
          <w:rFonts w:ascii="Times New Roman" w:hAnsi="Times New Roman"/>
          <w:i w:val="0"/>
          <w:sz w:val="26"/>
          <w:szCs w:val="26"/>
          <w:lang w:val="ru-RU"/>
        </w:rPr>
        <w:t>ЭП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и р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егистраци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(аккредитаци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>)</w:t>
      </w:r>
      <w:r w:rsidR="0060646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на электронной площадке</w:t>
      </w:r>
    </w:p>
    <w:p w14:paraId="41B22A2B" w14:textId="77777777" w:rsidR="004A0A8B" w:rsidRPr="00B00477" w:rsidRDefault="004A0A8B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2A8CEC56" w14:textId="2274A72E" w:rsidR="008D0FAC" w:rsidRDefault="008D0FA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</w:t>
      </w:r>
      <w:r w:rsidR="001D15E9" w:rsidRPr="007F62FD">
        <w:rPr>
          <w:sz w:val="22"/>
          <w:szCs w:val="22"/>
          <w:lang w:eastAsia="ru-RU"/>
        </w:rPr>
        <w:t xml:space="preserve">с учетом Раздела </w:t>
      </w:r>
      <w:r w:rsidR="00D438D5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 xml:space="preserve">4 и </w:t>
      </w:r>
      <w:r w:rsidR="00865789" w:rsidRPr="007F62FD">
        <w:rPr>
          <w:sz w:val="22"/>
          <w:szCs w:val="22"/>
          <w:lang w:eastAsia="ru-RU"/>
        </w:rPr>
        <w:t>пункта 5.3</w:t>
      </w:r>
      <w:r w:rsidRPr="007F62FD">
        <w:rPr>
          <w:sz w:val="22"/>
          <w:szCs w:val="22"/>
          <w:lang w:eastAsia="ru-RU"/>
        </w:rPr>
        <w:t xml:space="preserve"> Извещения необходимо пройти регистрацию (аккредитацию)</w:t>
      </w:r>
      <w:r w:rsidR="001D15E9" w:rsidRPr="007F62FD">
        <w:rPr>
          <w:sz w:val="22"/>
          <w:szCs w:val="22"/>
          <w:lang w:eastAsia="ru-RU"/>
        </w:rPr>
        <w:t xml:space="preserve"> на электронной площадке </w:t>
      </w:r>
      <w:r w:rsidR="001A3913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>в</w:t>
      </w:r>
      <w:r w:rsidRPr="007F62FD">
        <w:rPr>
          <w:sz w:val="22"/>
          <w:szCs w:val="22"/>
        </w:rPr>
        <w:t xml:space="preserve"> соответствии с Регламентом</w:t>
      </w:r>
      <w:r w:rsidR="001D15E9" w:rsidRPr="007F62FD">
        <w:rPr>
          <w:sz w:val="22"/>
          <w:szCs w:val="22"/>
        </w:rPr>
        <w:t xml:space="preserve"> и </w:t>
      </w:r>
      <w:r w:rsidRPr="007F62FD">
        <w:rPr>
          <w:sz w:val="22"/>
          <w:szCs w:val="22"/>
        </w:rPr>
        <w:t>Инструкциями</w:t>
      </w:r>
      <w:r w:rsidRPr="007F62FD">
        <w:rPr>
          <w:sz w:val="22"/>
          <w:szCs w:val="22"/>
          <w:lang w:eastAsia="ru-RU"/>
        </w:rPr>
        <w:t>.</w:t>
      </w:r>
    </w:p>
    <w:p w14:paraId="314CB4F1" w14:textId="1FF8057B" w:rsidR="00654BEC" w:rsidRPr="00B00477" w:rsidRDefault="00654BE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14DFD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714DFD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654BEC">
        <w:rPr>
          <w:sz w:val="22"/>
          <w:szCs w:val="22"/>
        </w:rPr>
        <w:t>)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 w:rsidRPr="00714DFD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26085F48" w14:textId="11D9A872" w:rsidR="006718E1" w:rsidRPr="007F62FD" w:rsidRDefault="006718E1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</w:t>
      </w:r>
      <w:r w:rsidR="007F62FD" w:rsidRPr="007F62FD">
        <w:rPr>
          <w:b/>
          <w:sz w:val="22"/>
          <w:szCs w:val="22"/>
          <w:lang w:eastAsia="ru-RU"/>
        </w:rPr>
        <w:t>4</w:t>
      </w:r>
      <w:r w:rsidRPr="007F62FD">
        <w:rPr>
          <w:b/>
          <w:sz w:val="22"/>
          <w:szCs w:val="22"/>
          <w:lang w:eastAsia="ru-RU"/>
        </w:rPr>
        <w:t>.</w:t>
      </w:r>
      <w:r w:rsidRPr="007F62FD">
        <w:rPr>
          <w:sz w:val="22"/>
          <w:szCs w:val="22"/>
          <w:lang w:val="en-US" w:eastAsia="ru-RU"/>
        </w:rPr>
        <w:t> </w:t>
      </w:r>
      <w:r w:rsidR="001D15E9" w:rsidRPr="007F62FD">
        <w:rPr>
          <w:sz w:val="22"/>
          <w:szCs w:val="22"/>
        </w:rPr>
        <w:t xml:space="preserve">Информация </w:t>
      </w:r>
      <w:r w:rsidR="004C5661" w:rsidRPr="007F62FD">
        <w:rPr>
          <w:sz w:val="22"/>
          <w:szCs w:val="22"/>
        </w:rPr>
        <w:t>по получению ЭП</w:t>
      </w:r>
      <w:r w:rsidR="00710ED2" w:rsidRPr="007F62FD">
        <w:rPr>
          <w:sz w:val="22"/>
          <w:szCs w:val="22"/>
        </w:rPr>
        <w:t xml:space="preserve"> и </w:t>
      </w:r>
      <w:r w:rsidR="00710ED2" w:rsidRPr="007F62FD">
        <w:rPr>
          <w:sz w:val="22"/>
          <w:szCs w:val="22"/>
          <w:lang w:eastAsia="ru-RU"/>
        </w:rPr>
        <w:t>регистрации (аккредитаци</w:t>
      </w:r>
      <w:r w:rsidR="00575ED1" w:rsidRPr="007F62FD">
        <w:rPr>
          <w:sz w:val="22"/>
          <w:szCs w:val="22"/>
          <w:lang w:eastAsia="ru-RU"/>
        </w:rPr>
        <w:t>и</w:t>
      </w:r>
      <w:r w:rsidR="00710ED2" w:rsidRPr="007F62FD">
        <w:rPr>
          <w:sz w:val="22"/>
          <w:szCs w:val="22"/>
          <w:lang w:eastAsia="ru-RU"/>
        </w:rPr>
        <w:t>) на электронной площадке</w:t>
      </w:r>
      <w:r w:rsidR="004C5661" w:rsidRPr="007F62FD">
        <w:rPr>
          <w:sz w:val="22"/>
          <w:szCs w:val="22"/>
        </w:rPr>
        <w:t xml:space="preserve"> указана </w:t>
      </w:r>
      <w:r w:rsidR="00710ED2" w:rsidRPr="007F62FD">
        <w:rPr>
          <w:sz w:val="22"/>
          <w:szCs w:val="22"/>
        </w:rPr>
        <w:t xml:space="preserve">также </w:t>
      </w:r>
      <w:r w:rsidR="004C5661" w:rsidRPr="007F62FD">
        <w:rPr>
          <w:sz w:val="22"/>
          <w:szCs w:val="22"/>
        </w:rPr>
        <w:t xml:space="preserve">в Памятке </w:t>
      </w:r>
      <w:r w:rsidR="0096128D" w:rsidRPr="007F62FD">
        <w:rPr>
          <w:sz w:val="22"/>
          <w:szCs w:val="22"/>
        </w:rPr>
        <w:t>(</w:t>
      </w:r>
      <w:r w:rsidR="00760E09" w:rsidRPr="007F62FD">
        <w:rPr>
          <w:color w:val="0000FF"/>
          <w:sz w:val="22"/>
          <w:szCs w:val="22"/>
        </w:rPr>
        <w:t>прилагается</w:t>
      </w:r>
      <w:r w:rsidR="004415F6" w:rsidRPr="007F62FD">
        <w:rPr>
          <w:sz w:val="22"/>
          <w:szCs w:val="22"/>
        </w:rPr>
        <w:t>)</w:t>
      </w:r>
    </w:p>
    <w:p w14:paraId="46F07F8D" w14:textId="0163C0FD" w:rsidR="000C45D9" w:rsidRPr="007F62FD" w:rsidRDefault="007F62FD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7F62FD">
        <w:rPr>
          <w:b/>
          <w:sz w:val="22"/>
          <w:szCs w:val="22"/>
        </w:rPr>
        <w:t>5.5</w:t>
      </w:r>
      <w:r w:rsidR="000C45D9" w:rsidRPr="007F62FD">
        <w:rPr>
          <w:b/>
          <w:sz w:val="22"/>
          <w:szCs w:val="22"/>
        </w:rPr>
        <w:t xml:space="preserve">. </w:t>
      </w:r>
      <w:r w:rsidR="000C45D9"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="000C45D9"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3580A5B3" w14:textId="77777777" w:rsidR="00331907" w:rsidRPr="000E3CE0" w:rsidRDefault="00331907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06D0BDA8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1108944D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12DFF4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2CA70E33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1FD8985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lastRenderedPageBreak/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535904F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19205CE3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09982C3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2DE3D80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8E23212" w14:textId="77777777" w:rsidR="00044980" w:rsidRPr="00F52526" w:rsidRDefault="00044980" w:rsidP="00044980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38A7AD9D" w14:textId="77777777" w:rsidR="00044980" w:rsidRPr="00F52526" w:rsidRDefault="00044980" w:rsidP="00044980">
      <w:pPr>
        <w:spacing w:line="276" w:lineRule="auto"/>
        <w:jc w:val="both"/>
        <w:rPr>
          <w:b/>
          <w:bCs/>
          <w:sz w:val="22"/>
          <w:szCs w:val="22"/>
        </w:rPr>
      </w:pPr>
    </w:p>
    <w:p w14:paraId="13BC280B" w14:textId="77777777" w:rsidR="00044980" w:rsidRPr="00F52526" w:rsidRDefault="00044980" w:rsidP="00044980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3458F6D4" w14:textId="77777777" w:rsidR="00044980" w:rsidRPr="00F52526" w:rsidRDefault="00044980" w:rsidP="00044980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5401EBC5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68BECCB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7AC074C0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444BD5A6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2C500A5C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5AA4916" w14:textId="77777777" w:rsidR="00044980" w:rsidRPr="00F52526" w:rsidRDefault="00044980" w:rsidP="0004498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C2866B" w14:textId="678A4A43" w:rsidR="00044980" w:rsidRPr="00450410" w:rsidRDefault="00044980" w:rsidP="0004498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4C2FAC">
        <w:rPr>
          <w:sz w:val="22"/>
          <w:szCs w:val="22"/>
        </w:rPr>
        <w:t xml:space="preserve">13, 14 и 25 статьи </w:t>
      </w:r>
      <w:r w:rsidRPr="00F52526">
        <w:rPr>
          <w:sz w:val="22"/>
          <w:szCs w:val="22"/>
        </w:rPr>
        <w:t>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1989ED2" w14:textId="77777777" w:rsidR="003D2160" w:rsidRPr="003D2160" w:rsidRDefault="003D2160" w:rsidP="003D216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bookmarkStart w:id="58" w:name="_Toc479691587"/>
      <w:r w:rsidRPr="003D2160"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711D2F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51D6AD70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3D2160">
        <w:rPr>
          <w:b/>
          <w:bCs/>
          <w:iCs/>
          <w:sz w:val="22"/>
          <w:szCs w:val="22"/>
        </w:rPr>
        <w:t>7.</w:t>
      </w:r>
      <w:r w:rsidRPr="003D2160">
        <w:rPr>
          <w:i/>
          <w:sz w:val="22"/>
          <w:szCs w:val="22"/>
        </w:rPr>
        <w:t> </w:t>
      </w:r>
      <w:r w:rsidRPr="003D2160">
        <w:rPr>
          <w:b/>
          <w:sz w:val="22"/>
          <w:szCs w:val="22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33C8708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B912EBA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7.1. </w:t>
      </w:r>
      <w:r w:rsidRPr="003D2160">
        <w:rPr>
          <w:bCs/>
          <w:color w:val="FF0000"/>
          <w:sz w:val="22"/>
          <w:szCs w:val="22"/>
        </w:rPr>
        <w:t>Внимание!</w:t>
      </w:r>
      <w:r w:rsidRPr="003D2160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D2160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BA66F0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7.2. </w:t>
      </w:r>
      <w:r w:rsidRPr="003D2160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D2160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D2160">
        <w:rPr>
          <w:sz w:val="22"/>
          <w:szCs w:val="22"/>
        </w:rPr>
        <w:t>на Аналитическом счете</w:t>
      </w:r>
      <w:r w:rsidRPr="003D2160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D2160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D2160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D2160">
        <w:rPr>
          <w:bCs/>
          <w:sz w:val="22"/>
          <w:szCs w:val="22"/>
        </w:rPr>
        <w:t xml:space="preserve"> </w:t>
      </w:r>
      <w:r w:rsidRPr="003D2160">
        <w:rPr>
          <w:sz w:val="22"/>
          <w:szCs w:val="22"/>
        </w:rPr>
        <w:t>.</w:t>
      </w:r>
    </w:p>
    <w:p w14:paraId="390C0F6E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D2160">
        <w:rPr>
          <w:bCs/>
          <w:sz w:val="22"/>
          <w:szCs w:val="22"/>
        </w:rPr>
        <w:br/>
        <w:t>по следующим реквизитам:</w:t>
      </w:r>
    </w:p>
    <w:p w14:paraId="1EB8CDBF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32B9E99C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Получатель платежа:</w:t>
      </w:r>
      <w:r w:rsidRPr="003D2160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2143DB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Банковские реквизиты:</w:t>
      </w:r>
      <w:r w:rsidRPr="003D2160">
        <w:rPr>
          <w:sz w:val="22"/>
          <w:szCs w:val="22"/>
        </w:rPr>
        <w:t xml:space="preserve"> Филиал «Корпоративный» ПАО «Совкомбанк»</w:t>
      </w:r>
    </w:p>
    <w:p w14:paraId="434CFCFD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БИК 044525360</w:t>
      </w:r>
    </w:p>
    <w:p w14:paraId="7B923F69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Расчётный счёт: 40702810512030016362</w:t>
      </w:r>
    </w:p>
    <w:p w14:paraId="3497A6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Корр. счёт 30101810445250000360</w:t>
      </w:r>
    </w:p>
    <w:p w14:paraId="38DFBE76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ИНН 7710357167 КПП 773001001</w:t>
      </w:r>
    </w:p>
    <w:p w14:paraId="7A9A7E2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13E6440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>Назначение платежа:</w:t>
      </w:r>
    </w:p>
    <w:p w14:paraId="03CBD03B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D2160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3D001032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467A20CF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7.3.  </w:t>
      </w:r>
      <w:r w:rsidRPr="003D2160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2F2EE307" w14:textId="77777777" w:rsidR="00CF432A" w:rsidRPr="003D2160" w:rsidRDefault="00CF432A" w:rsidP="00CF432A">
      <w:pPr>
        <w:pStyle w:val="affc"/>
        <w:rPr>
          <w:sz w:val="22"/>
          <w:szCs w:val="22"/>
          <w:lang w:val="ru-RU"/>
        </w:rPr>
      </w:pPr>
    </w:p>
    <w:p w14:paraId="03D04D90" w14:textId="6A74E5C0" w:rsidR="00F777DC" w:rsidRPr="000E3CE0" w:rsidRDefault="00083C63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58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5F861E8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7F3115AA" w:rsidR="00D2773B" w:rsidRPr="000E3CE0" w:rsidRDefault="00580D1A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 w:rsidRPr="00580D1A"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4678FAE9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8.3.</w:t>
      </w:r>
      <w:r w:rsidRPr="00580D1A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Pr="00580D1A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A3EA6E5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580D1A">
        <w:rPr>
          <w:bCs/>
          <w:sz w:val="22"/>
          <w:szCs w:val="22"/>
        </w:rPr>
        <w:br/>
        <w:t>в качестве индивидуального предпринимателя);</w:t>
      </w:r>
    </w:p>
    <w:p w14:paraId="40956866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ED2D64A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документы, подтверждающие внесение задатка.*</w:t>
      </w:r>
    </w:p>
    <w:p w14:paraId="3973A86E" w14:textId="77777777" w:rsidR="00580D1A" w:rsidRPr="000E3CE0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*</w:t>
      </w:r>
      <w:r w:rsidRPr="00580D1A">
        <w:rPr>
          <w:sz w:val="18"/>
          <w:szCs w:val="18"/>
        </w:rPr>
        <w:t xml:space="preserve">При подаче Заявителем Заявки в соответствии </w:t>
      </w:r>
      <w:r w:rsidRPr="00580D1A">
        <w:rPr>
          <w:bCs/>
          <w:sz w:val="18"/>
          <w:szCs w:val="18"/>
        </w:rPr>
        <w:t>с Регламентом и Инструкциями</w:t>
      </w:r>
      <w:r w:rsidRPr="00580D1A">
        <w:rPr>
          <w:sz w:val="18"/>
          <w:szCs w:val="18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580D5010" w14:textId="77777777" w:rsidR="00580D1A" w:rsidRPr="0061285E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7F52BEA" w14:textId="69506EDB" w:rsidR="00580D1A" w:rsidRPr="0061285E" w:rsidRDefault="00580D1A" w:rsidP="00580D1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580D1A">
        <w:rPr>
          <w:b/>
          <w:sz w:val="22"/>
          <w:szCs w:val="22"/>
        </w:rPr>
        <w:t>8.5. </w:t>
      </w:r>
      <w:r w:rsidRPr="00580D1A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580D1A">
        <w:rPr>
          <w:sz w:val="22"/>
          <w:szCs w:val="22"/>
        </w:rPr>
        <w:t xml:space="preserve">с Регламентом </w:t>
      </w:r>
      <w:r w:rsidRPr="00580D1A">
        <w:rPr>
          <w:sz w:val="22"/>
          <w:szCs w:val="22"/>
        </w:rPr>
        <w:br/>
        <w:t>и Инструкциями</w:t>
      </w:r>
      <w:r w:rsidRPr="00580D1A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580D1A">
        <w:rPr>
          <w:bCs/>
          <w:sz w:val="22"/>
          <w:szCs w:val="22"/>
        </w:rPr>
        <w:br/>
        <w:t xml:space="preserve">без отзыва Заявки в соответствии </w:t>
      </w:r>
      <w:r w:rsidRPr="00580D1A">
        <w:rPr>
          <w:sz w:val="22"/>
          <w:szCs w:val="22"/>
        </w:rPr>
        <w:t>с Регламентом и Инструкциями</w:t>
      </w:r>
      <w:r w:rsidRPr="00580D1A">
        <w:rPr>
          <w:bCs/>
          <w:sz w:val="22"/>
          <w:szCs w:val="22"/>
        </w:rPr>
        <w:t>.</w:t>
      </w:r>
    </w:p>
    <w:p w14:paraId="3FF6F8FA" w14:textId="5B4C2479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 w:rsidRPr="00580D1A"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436A6618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4F688C6C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325232A5" w:rsidR="00057112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59" w:name="_Toc423619380"/>
      <w:bookmarkStart w:id="60" w:name="_Toc426462877"/>
      <w:bookmarkStart w:id="61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 xml:space="preserve">пунктами </w:t>
      </w:r>
      <w:r w:rsidRPr="00580D1A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580D1A">
        <w:rPr>
          <w:bCs/>
          <w:sz w:val="22"/>
          <w:szCs w:val="22"/>
        </w:rPr>
        <w:t>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62D849A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61285E"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6B162EBB" w:rsidR="0004401B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285E"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1DD4D29E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lastRenderedPageBreak/>
        <w:t>8</w:t>
      </w:r>
      <w:r w:rsidR="00916439" w:rsidRPr="000E3CE0">
        <w:rPr>
          <w:b/>
          <w:sz w:val="22"/>
          <w:szCs w:val="22"/>
        </w:rPr>
        <w:t>.1</w:t>
      </w:r>
      <w:r w:rsidRPr="0061285E"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3E24476C" w:rsidR="00FF40AF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65EB4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507F671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5EF763BB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357CEAB" w:rsidR="00BE6CE3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61285E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457A42F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99318E6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56153E89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34292131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 xml:space="preserve">размещает Протокол рассмотрения заявок на участие в аукционе </w:t>
      </w:r>
      <w:r>
        <w:t xml:space="preserve">на электронной площадке </w:t>
      </w:r>
      <w:r w:rsidRPr="001A747F">
        <w:t xml:space="preserve">не позднее, чем на следующий </w:t>
      </w:r>
      <w:r w:rsidRPr="00127B47">
        <w:t xml:space="preserve">рабочий </w:t>
      </w:r>
      <w:r w:rsidRPr="001A747F">
        <w:t>день</w:t>
      </w:r>
      <w:r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после дня подписания указанного протокола</w:t>
      </w:r>
      <w:r w:rsidR="00EB060E">
        <w:rPr>
          <w:sz w:val="22"/>
          <w:szCs w:val="22"/>
        </w:rPr>
        <w:t>.</w:t>
      </w:r>
    </w:p>
    <w:p w14:paraId="183D9176" w14:textId="3111FFBC" w:rsidR="0071037B" w:rsidRDefault="00065EB4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2" w:name="_Toc419295282"/>
      <w:bookmarkStart w:id="63" w:name="_Toc423619386"/>
      <w:bookmarkStart w:id="64" w:name="_Toc426462880"/>
      <w:bookmarkStart w:id="65" w:name="_Toc428969615"/>
      <w:bookmarkEnd w:id="59"/>
      <w:bookmarkEnd w:id="60"/>
      <w:bookmarkEnd w:id="61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7FB6C97B" w:rsidR="00ED3E7E" w:rsidRPr="000E3CE0" w:rsidRDefault="006B1BD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61285E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2"/>
      <w:bookmarkEnd w:id="63"/>
      <w:bookmarkEnd w:id="64"/>
      <w:bookmarkEnd w:id="65"/>
      <w:bookmarkEnd w:id="66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79BD5977" w:rsidR="005623F8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67" w:name="_Toc426365734"/>
      <w:bookmarkStart w:id="68" w:name="_Toc429992738"/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26811E6E" w:rsidR="006622FC" w:rsidRPr="0061285E" w:rsidRDefault="006B1BD7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123C819" w14:textId="7EC1093E" w:rsidR="006B1BD7" w:rsidRPr="0061285E" w:rsidRDefault="006B1BD7" w:rsidP="006B1BD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69" w:name="_Hlk125365628"/>
      <w:r w:rsidRPr="006B1BD7">
        <w:rPr>
          <w:rFonts w:eastAsia="Calibri"/>
          <w:color w:val="FF0000"/>
          <w:sz w:val="22"/>
          <w:szCs w:val="22"/>
        </w:rPr>
        <w:t>ВНИМАНИЕ!</w:t>
      </w:r>
      <w:r w:rsidRPr="006B1BD7">
        <w:rPr>
          <w:rFonts w:eastAsia="Calibri"/>
          <w:sz w:val="22"/>
          <w:szCs w:val="22"/>
        </w:rPr>
        <w:br/>
      </w:r>
      <w:r w:rsidRPr="006B1BD7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6B1BD7">
        <w:rPr>
          <w:rFonts w:eastAsia="Calibri"/>
          <w:color w:val="FF0000"/>
          <w:sz w:val="22"/>
          <w:szCs w:val="22"/>
        </w:rPr>
        <w:br/>
      </w:r>
      <w:r w:rsidRPr="006B1BD7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6B1BD7">
        <w:rPr>
          <w:rFonts w:eastAsia="Calibri"/>
          <w:color w:val="FF0000"/>
          <w:sz w:val="22"/>
          <w:szCs w:val="22"/>
        </w:rPr>
        <w:t>!</w:t>
      </w:r>
      <w:bookmarkEnd w:id="69"/>
    </w:p>
    <w:p w14:paraId="02906DC1" w14:textId="71177B5D" w:rsidR="00A25292" w:rsidRDefault="00A25292" w:rsidP="00A2529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C70E1C">
        <w:rPr>
          <w:bCs/>
          <w:sz w:val="22"/>
          <w:szCs w:val="22"/>
        </w:rPr>
        <w:t>занные в пункте 2.11 Извещения.</w:t>
      </w:r>
    </w:p>
    <w:p w14:paraId="79CF3D4E" w14:textId="77777777" w:rsidR="00A25292" w:rsidRDefault="00A25292" w:rsidP="00A2529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lastRenderedPageBreak/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51B1F905" w:rsidR="005C288B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6B1BD7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 w:rsidRPr="006B1BD7"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24C28C1C" w:rsidR="00D21D39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23BA6E50" w:rsidR="00D21D39" w:rsidRPr="000E3CE0" w:rsidRDefault="006B1BD7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6EEDB4A7" w:rsidR="00D21D39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7251DCE5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06D92931" w:rsidR="00AA115F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0" w:name="_Hlk170912419"/>
      <w:r w:rsidR="00C70E1C" w:rsidRPr="00C70E1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0"/>
      <w:r w:rsidR="00C70E1C">
        <w:rPr>
          <w:bCs/>
          <w:sz w:val="22"/>
          <w:szCs w:val="22"/>
          <w:lang w:eastAsia="en-US"/>
        </w:rPr>
        <w:t>.</w:t>
      </w:r>
    </w:p>
    <w:p w14:paraId="65B80DE0" w14:textId="6E47BA98" w:rsidR="00C16841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1B26EE50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>
        <w:t>электронной площадке</w:t>
      </w:r>
      <w:r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72277F19" w:rsidR="007D112D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166799DA" w14:textId="77777777" w:rsidR="009112D7" w:rsidRDefault="004C2FAC" w:rsidP="009112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C2FAC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54802D17" w14:textId="56F1D43A" w:rsidR="004C2FAC" w:rsidRDefault="009112D7" w:rsidP="009112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C2FAC">
        <w:rPr>
          <w:sz w:val="22"/>
          <w:szCs w:val="22"/>
        </w:rPr>
        <w:t xml:space="preserve"> </w:t>
      </w:r>
      <w:r w:rsidR="004C2FAC" w:rsidRPr="004C2FAC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22C2AE94" w14:textId="6FDE4C0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4C2FAC">
        <w:rPr>
          <w:sz w:val="22"/>
          <w:szCs w:val="22"/>
        </w:rPr>
        <w:t>в течение</w:t>
      </w:r>
      <w:r w:rsidR="00FF2761" w:rsidRPr="000E3CE0">
        <w:rPr>
          <w:sz w:val="22"/>
          <w:szCs w:val="22"/>
        </w:rPr>
        <w:t xml:space="preserve"> </w:t>
      </w:r>
      <w:r w:rsidR="008B4405" w:rsidRPr="000E3CE0">
        <w:rPr>
          <w:sz w:val="22"/>
          <w:szCs w:val="22"/>
        </w:rPr>
        <w:t>1</w:t>
      </w:r>
      <w:r w:rsidR="006B1BD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6B1BD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6B1BD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0E30FA7" w:rsidR="00364A9F" w:rsidRPr="000E3CE0" w:rsidRDefault="00A1630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1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67"/>
      <w:bookmarkEnd w:id="68"/>
      <w:bookmarkEnd w:id="71"/>
    </w:p>
    <w:p w14:paraId="4A1D787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</w:t>
      </w:r>
      <w:r w:rsidRPr="00A16307">
        <w:rPr>
          <w:sz w:val="22"/>
          <w:szCs w:val="22"/>
        </w:rPr>
        <w:t>. Заключение договора аренды Земельного участка (</w:t>
      </w:r>
      <w:bookmarkStart w:id="72" w:name="_Hlk130986499"/>
      <w:r w:rsidRPr="00A16307">
        <w:rPr>
          <w:color w:val="0000FF"/>
          <w:sz w:val="22"/>
          <w:szCs w:val="22"/>
        </w:rPr>
        <w:t>прилагается</w:t>
      </w:r>
      <w:bookmarkEnd w:id="72"/>
      <w:r w:rsidRPr="00A16307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7A3E04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12.2.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3" w:name="_Hlk130986518"/>
      <w:r>
        <w:rPr>
          <w:sz w:val="22"/>
          <w:szCs w:val="22"/>
        </w:rPr>
        <w:t>arenda.mosreg.ru</w:t>
      </w:r>
      <w:bookmarkEnd w:id="73"/>
      <w:r w:rsidRPr="00A16307">
        <w:rPr>
          <w:sz w:val="22"/>
          <w:szCs w:val="22"/>
        </w:rPr>
        <w:t xml:space="preserve"> (далее – ЛКА).</w:t>
      </w:r>
    </w:p>
    <w:p w14:paraId="14E0A6BE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12.3.</w:t>
      </w:r>
      <w:r w:rsidRPr="00A16307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A16307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0969866B" w14:textId="1ED739F8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12.4.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</w:t>
      </w:r>
      <w:r w:rsidR="004C2FAC">
        <w:rPr>
          <w:sz w:val="22"/>
          <w:szCs w:val="22"/>
        </w:rPr>
        <w:t>ской Федерации, обязан в течение</w:t>
      </w:r>
      <w:r w:rsidRPr="00A16307">
        <w:rPr>
          <w:sz w:val="22"/>
          <w:szCs w:val="22"/>
        </w:rPr>
        <w:t xml:space="preserve"> 10 (десяти) дней </w:t>
      </w:r>
      <w:r w:rsidRPr="00A16307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A16307">
        <w:rPr>
          <w:sz w:val="22"/>
          <w:szCs w:val="22"/>
        </w:rPr>
        <w:br/>
        <w:t>в соответствии с инструкцией (</w:t>
      </w:r>
      <w:r w:rsidRPr="00A16307">
        <w:rPr>
          <w:color w:val="0000FF"/>
          <w:sz w:val="22"/>
          <w:szCs w:val="22"/>
        </w:rPr>
        <w:t>прилагается</w:t>
      </w:r>
      <w:r w:rsidRPr="00A16307">
        <w:rPr>
          <w:sz w:val="22"/>
          <w:szCs w:val="22"/>
        </w:rPr>
        <w:t xml:space="preserve">). </w:t>
      </w:r>
    </w:p>
    <w:p w14:paraId="30565D9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12.5.</w:t>
      </w:r>
      <w:r w:rsidRPr="00A16307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A16307">
        <w:rPr>
          <w:sz w:val="22"/>
          <w:szCs w:val="22"/>
        </w:rPr>
        <w:br/>
        <w:t xml:space="preserve"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</w:t>
      </w:r>
      <w:r w:rsidRPr="00A16307">
        <w:rPr>
          <w:sz w:val="22"/>
          <w:szCs w:val="22"/>
        </w:rPr>
        <w:lastRenderedPageBreak/>
        <w:t>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C51FFF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12.6.</w:t>
      </w:r>
      <w:r w:rsidRPr="00A16307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0D67056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12.7.</w:t>
      </w:r>
      <w:r w:rsidRPr="00A16307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6DA094F1" w14:textId="43E3F2D6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 xml:space="preserve">в течение </w:t>
      </w:r>
      <w:r w:rsidR="00BE02A4">
        <w:rPr>
          <w:sz w:val="22"/>
          <w:szCs w:val="22"/>
        </w:rPr>
        <w:t xml:space="preserve">10 (десяти) рабочих </w:t>
      </w:r>
      <w:r w:rsidRPr="00A16307">
        <w:rPr>
          <w:sz w:val="22"/>
          <w:szCs w:val="22"/>
        </w:rPr>
        <w:t>дней со дня направления ему в ЛКА такого договора.</w:t>
      </w:r>
    </w:p>
    <w:p w14:paraId="447ECB93" w14:textId="5A2210B8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12.9.</w:t>
      </w:r>
      <w:r w:rsidRPr="00A16307">
        <w:rPr>
          <w:sz w:val="22"/>
          <w:szCs w:val="22"/>
        </w:rPr>
        <w:t xml:space="preserve"> Если договор аренды Земельного участка в течение </w:t>
      </w:r>
      <w:r w:rsidR="00BE02A4">
        <w:rPr>
          <w:sz w:val="22"/>
          <w:szCs w:val="22"/>
        </w:rPr>
        <w:t xml:space="preserve">10 (десяти) рабочих </w:t>
      </w:r>
      <w:r w:rsidRPr="00A16307">
        <w:rPr>
          <w:sz w:val="22"/>
          <w:szCs w:val="22"/>
        </w:rPr>
        <w:t xml:space="preserve">дней со дня направления проекта договора аренды Земельного участка победителю аукциона не был им подписан в ЛКА, Арендодатель </w:t>
      </w:r>
      <w:r w:rsidR="00BE02A4">
        <w:rPr>
          <w:sz w:val="22"/>
          <w:szCs w:val="22"/>
        </w:rPr>
        <w:t>направляет</w:t>
      </w:r>
      <w:r w:rsidRPr="00A16307">
        <w:rPr>
          <w:sz w:val="22"/>
          <w:szCs w:val="22"/>
        </w:rPr>
        <w:t xml:space="preserve"> указанный договор иному Участнику, который сделал предпоследнее предложение </w:t>
      </w:r>
      <w:r w:rsidRPr="00A16307">
        <w:rPr>
          <w:sz w:val="22"/>
          <w:szCs w:val="22"/>
        </w:rPr>
        <w:br/>
        <w:t xml:space="preserve">о цене Предмета аукциона, </w:t>
      </w:r>
      <w:r w:rsidR="00BE02A4" w:rsidRPr="00BE02A4">
        <w:rPr>
          <w:sz w:val="22"/>
          <w:szCs w:val="22"/>
        </w:rPr>
        <w:t>для его заключения по цене, предложенной таким Участником аукциона</w:t>
      </w:r>
      <w:r w:rsidR="00BE02A4">
        <w:rPr>
          <w:sz w:val="22"/>
          <w:szCs w:val="22"/>
        </w:rPr>
        <w:t>.</w:t>
      </w:r>
    </w:p>
    <w:p w14:paraId="4F54A124" w14:textId="6909A44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12.10</w:t>
      </w:r>
      <w:r w:rsidRPr="00A16307">
        <w:rPr>
          <w:sz w:val="22"/>
          <w:szCs w:val="22"/>
        </w:rPr>
        <w:t xml:space="preserve">. В случае, если победитель аукциона или иное лицо, с которым заключается договор аренды Земельного участка в соответствии с пунктами </w:t>
      </w:r>
      <w:r w:rsidR="00BE02A4" w:rsidRPr="00BE02A4">
        <w:rPr>
          <w:sz w:val="22"/>
          <w:szCs w:val="22"/>
        </w:rPr>
        <w:t>12.5, 12.6 и 12.9</w:t>
      </w:r>
      <w:r w:rsidR="00BE02A4">
        <w:rPr>
          <w:sz w:val="22"/>
          <w:szCs w:val="22"/>
        </w:rPr>
        <w:t xml:space="preserve"> </w:t>
      </w:r>
      <w:r w:rsidRPr="00A16307">
        <w:rPr>
          <w:sz w:val="22"/>
          <w:szCs w:val="22"/>
        </w:rPr>
        <w:t xml:space="preserve">Извещения, в течение </w:t>
      </w:r>
      <w:r w:rsidR="00BE02A4">
        <w:rPr>
          <w:sz w:val="22"/>
          <w:szCs w:val="22"/>
        </w:rPr>
        <w:t>10 (десяти) рабочих</w:t>
      </w:r>
      <w:r w:rsidRPr="00A16307">
        <w:rPr>
          <w:sz w:val="22"/>
          <w:szCs w:val="22"/>
        </w:rPr>
        <w:t xml:space="preserve">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1FC53490" w14:textId="42D82E16" w:rsidR="00EB43EF" w:rsidRDefault="00A16307" w:rsidP="00A1630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12.11.</w:t>
      </w:r>
      <w:r w:rsidRPr="00A16307">
        <w:rPr>
          <w:sz w:val="22"/>
          <w:szCs w:val="22"/>
        </w:rPr>
        <w:t xml:space="preserve"> В случае, если в течение </w:t>
      </w:r>
      <w:r w:rsidR="00BE02A4">
        <w:rPr>
          <w:sz w:val="22"/>
          <w:szCs w:val="22"/>
        </w:rPr>
        <w:t xml:space="preserve">10 (десяти) рабочих </w:t>
      </w:r>
      <w:r w:rsidRPr="00A16307">
        <w:rPr>
          <w:sz w:val="22"/>
          <w:szCs w:val="22"/>
        </w:rPr>
        <w:t xml:space="preserve">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498DEDE3" w14:textId="77777777" w:rsidR="00991928" w:rsidRDefault="00991928" w:rsidP="00991928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12.12.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x-none"/>
        </w:rPr>
        <w:t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14:paraId="7A6CDF20" w14:textId="77777777" w:rsidR="00991928" w:rsidRPr="00A16307" w:rsidRDefault="00991928" w:rsidP="00A1630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</w:p>
    <w:p w14:paraId="2976ECCD" w14:textId="77777777" w:rsidR="0020554B" w:rsidRPr="00917C42" w:rsidRDefault="0020554B" w:rsidP="0020554B">
      <w:pPr>
        <w:rPr>
          <w:lang w:val="x-none"/>
        </w:rPr>
      </w:pPr>
    </w:p>
    <w:p w14:paraId="6CE3150A" w14:textId="37CB0285" w:rsidR="00903325" w:rsidRDefault="00D95D1D" w:rsidP="00884E19">
      <w:pPr>
        <w:pStyle w:val="2"/>
        <w:jc w:val="right"/>
        <w:rPr>
          <w:b w:val="0"/>
          <w:sz w:val="22"/>
          <w:szCs w:val="22"/>
        </w:rPr>
      </w:pPr>
      <w:r w:rsidRPr="000E3CE0">
        <w:br w:type="page"/>
      </w:r>
      <w:bookmarkStart w:id="74" w:name="_Toc423082997"/>
      <w:bookmarkStart w:id="75" w:name="_GoBack"/>
      <w:bookmarkEnd w:id="75"/>
      <w:r w:rsidR="00884E19" w:rsidRPr="004C1249">
        <w:rPr>
          <w:b w:val="0"/>
        </w:rPr>
        <w:lastRenderedPageBreak/>
        <w:t xml:space="preserve"> </w:t>
      </w:r>
      <w:r w:rsidR="00903325" w:rsidRPr="004C1249">
        <w:t>ФОРМА</w:t>
      </w:r>
      <w:r w:rsidR="00903325" w:rsidRPr="00DE66A3">
        <w:rPr>
          <w:sz w:val="20"/>
          <w:szCs w:val="20"/>
        </w:rPr>
        <w:t xml:space="preserve"> </w:t>
      </w:r>
      <w:r w:rsidR="00903325" w:rsidRPr="00DE66A3">
        <w:t xml:space="preserve">ЗАЯВКИ </w:t>
      </w:r>
      <w:r w:rsidR="00903325" w:rsidRPr="00410087">
        <w:t>НА УЧАСТИЕ В АУКЦИОНЕ В ЭЛЕКТРОННОЙ ФОРМЕ</w:t>
      </w:r>
    </w:p>
    <w:p w14:paraId="5EAB0F73" w14:textId="77777777" w:rsidR="00903325" w:rsidRPr="00526AE0" w:rsidRDefault="00903325" w:rsidP="00903325">
      <w:pPr>
        <w:rPr>
          <w:b/>
          <w:sz w:val="2"/>
          <w:szCs w:val="10"/>
        </w:rPr>
      </w:pPr>
    </w:p>
    <w:p w14:paraId="637CA17E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3F4C3C22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AABCAA0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B895A01" w14:textId="77777777" w:rsidR="00903325" w:rsidRPr="00526AE0" w:rsidRDefault="00903325" w:rsidP="0090332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F4EB832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49FD3C37" w14:textId="2FEFCD74" w:rsidR="00903325" w:rsidRPr="00526AE0" w:rsidRDefault="00903325" w:rsidP="0090332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 w:rsidR="001846A9">
        <w:rPr>
          <w:rStyle w:val="ab"/>
          <w:b/>
          <w:bCs/>
          <w:sz w:val="19"/>
          <w:szCs w:val="19"/>
        </w:rPr>
        <w:footnoteReference w:id="3"/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12FBF2F5" w14:textId="77777777" w:rsidR="00903325" w:rsidRPr="00526AE0" w:rsidRDefault="00903325" w:rsidP="0090332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903325" w:rsidRPr="00526AE0" w14:paraId="69461E19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6A466D6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C0A04AC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376207A9" w14:textId="77777777" w:rsidR="00903325" w:rsidRPr="003A1B43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6CCBBAE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3748E185" w14:textId="77777777" w:rsidR="00903325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020086F5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903325" w:rsidRPr="00526AE0" w14:paraId="256CEE20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1FD8EA9" w14:textId="0DB5E850" w:rsidR="00903325" w:rsidRPr="00526AE0" w:rsidRDefault="00903325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 w:rsidR="001846A9">
              <w:rPr>
                <w:rStyle w:val="ab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3756B140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13DAC583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4AD7DD39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4EBB1B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5EF80A01" w14:textId="77777777" w:rsidR="00903325" w:rsidRPr="00D135E6" w:rsidRDefault="00903325" w:rsidP="0090332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D135E6">
        <w:rPr>
          <w:sz w:val="17"/>
          <w:szCs w:val="17"/>
        </w:rPr>
        <w:tab/>
      </w:r>
      <w:r w:rsidRPr="00D135E6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D135E6">
        <w:rPr>
          <w:sz w:val="17"/>
          <w:szCs w:val="17"/>
        </w:rPr>
        <w:t xml:space="preserve">__________________________(сумма прописью), </w:t>
      </w:r>
      <w:r w:rsidRPr="00D135E6">
        <w:rPr>
          <w:b/>
          <w:sz w:val="17"/>
          <w:szCs w:val="17"/>
        </w:rPr>
        <w:t xml:space="preserve">в сроки и в порядке, установленные </w:t>
      </w:r>
      <w:r w:rsidRPr="00D135E6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CA4B408" w14:textId="77777777" w:rsidR="00903325" w:rsidRPr="00D135E6" w:rsidRDefault="00903325" w:rsidP="00903325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33D9F8FE" w14:textId="77777777" w:rsidR="009E2F58" w:rsidRPr="00D135E6" w:rsidRDefault="009E2F58" w:rsidP="009E2F58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bookmarkStart w:id="76" w:name="__RefHeading__73_520497706"/>
      <w:bookmarkStart w:id="77" w:name="__RefHeading__88_1698952488"/>
      <w:bookmarkEnd w:id="74"/>
      <w:bookmarkEnd w:id="76"/>
      <w:bookmarkEnd w:id="77"/>
      <w:r w:rsidRPr="00D135E6">
        <w:rPr>
          <w:sz w:val="17"/>
          <w:szCs w:val="17"/>
        </w:rPr>
        <w:t>Заявитель обязуется:</w:t>
      </w:r>
    </w:p>
    <w:p w14:paraId="4C31FA52" w14:textId="77777777" w:rsidR="009E2F58" w:rsidRPr="00D135E6" w:rsidRDefault="009E2F58" w:rsidP="009E2F58">
      <w:pPr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D135E6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D135E6">
        <w:rPr>
          <w:rStyle w:val="ab"/>
          <w:sz w:val="17"/>
          <w:szCs w:val="17"/>
        </w:rPr>
        <w:footnoteReference w:id="5"/>
      </w:r>
      <w:r w:rsidRPr="00D135E6">
        <w:rPr>
          <w:sz w:val="17"/>
          <w:szCs w:val="17"/>
        </w:rPr>
        <w:t>.</w:t>
      </w:r>
    </w:p>
    <w:p w14:paraId="345CF1A8" w14:textId="23BA8C38" w:rsidR="009E2F58" w:rsidRPr="00D135E6" w:rsidRDefault="009E2F58" w:rsidP="009E2F58">
      <w:pPr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1.2. В случае признания Победителем аукциона в электронной форме, а также в иных случая</w:t>
      </w:r>
      <w:r w:rsidR="00C806EC" w:rsidRPr="00D135E6">
        <w:rPr>
          <w:sz w:val="17"/>
          <w:szCs w:val="17"/>
        </w:rPr>
        <w:t>х, предусмотренных пунктами 13,</w:t>
      </w:r>
      <w:r w:rsidRPr="00D135E6">
        <w:rPr>
          <w:sz w:val="17"/>
          <w:szCs w:val="17"/>
        </w:rPr>
        <w:t xml:space="preserve"> 14</w:t>
      </w:r>
      <w:r w:rsidR="00C806EC" w:rsidRPr="00D135E6">
        <w:rPr>
          <w:sz w:val="17"/>
          <w:szCs w:val="17"/>
        </w:rPr>
        <w:t xml:space="preserve"> и 25</w:t>
      </w:r>
      <w:r w:rsidRPr="00D135E6">
        <w:rPr>
          <w:sz w:val="17"/>
          <w:szCs w:val="17"/>
        </w:rPr>
        <w:t xml:space="preserve"> </w:t>
      </w:r>
      <w:r w:rsidRPr="00D135E6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D135E6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6CAF9A03" w14:textId="77777777" w:rsidR="009E2F58" w:rsidRPr="00D135E6" w:rsidRDefault="009E2F58" w:rsidP="009E2F58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D135E6">
        <w:rPr>
          <w:b/>
          <w:sz w:val="17"/>
          <w:szCs w:val="17"/>
        </w:rPr>
        <w:t>и не имеет претензий к ним</w:t>
      </w:r>
      <w:r w:rsidRPr="00D135E6">
        <w:rPr>
          <w:sz w:val="17"/>
          <w:szCs w:val="17"/>
        </w:rPr>
        <w:t>.</w:t>
      </w:r>
    </w:p>
    <w:p w14:paraId="27B45915" w14:textId="77777777" w:rsidR="009E2F58" w:rsidRPr="00D135E6" w:rsidRDefault="009E2F58" w:rsidP="009E2F58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4CCA34FF" w14:textId="77777777" w:rsidR="009E2F58" w:rsidRPr="00D135E6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04600796" w14:textId="77777777" w:rsidR="009E2F58" w:rsidRPr="00D135E6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730FBD03" w14:textId="77777777" w:rsidR="009E2F58" w:rsidRPr="00D135E6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D135E6">
        <w:rPr>
          <w:rStyle w:val="ab"/>
          <w:sz w:val="17"/>
          <w:szCs w:val="17"/>
        </w:rPr>
        <w:footnoteReference w:id="6"/>
      </w:r>
      <w:r w:rsidRPr="00D135E6">
        <w:rPr>
          <w:sz w:val="17"/>
          <w:szCs w:val="17"/>
        </w:rPr>
        <w:t>.</w:t>
      </w:r>
    </w:p>
    <w:p w14:paraId="24ED17FF" w14:textId="68ED1F96" w:rsidR="00691B26" w:rsidRPr="00D135E6" w:rsidRDefault="00691B26" w:rsidP="00691B26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настоящей Заявки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превышает 0,5 га.</w:t>
      </w:r>
      <w:r w:rsidRPr="00D135E6">
        <w:rPr>
          <w:rStyle w:val="ab"/>
          <w:sz w:val="17"/>
          <w:szCs w:val="17"/>
        </w:rPr>
        <w:footnoteReference w:id="7"/>
      </w:r>
    </w:p>
    <w:p w14:paraId="3AB2759E" w14:textId="77777777" w:rsidR="0038732A" w:rsidRDefault="009E2F58" w:rsidP="0038732A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D135E6">
        <w:rPr>
          <w:color w:val="000000" w:themeColor="text1"/>
          <w:sz w:val="17"/>
          <w:szCs w:val="17"/>
        </w:rPr>
        <w:t>ru</w:t>
      </w:r>
      <w:r w:rsidRPr="00D135E6">
        <w:rPr>
          <w:rStyle w:val="a3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D135E6">
        <w:rPr>
          <w:sz w:val="17"/>
          <w:szCs w:val="17"/>
        </w:rPr>
        <w:t>.</w:t>
      </w:r>
    </w:p>
    <w:p w14:paraId="649E35B0" w14:textId="030A3C28" w:rsidR="009E2F58" w:rsidRPr="0038732A" w:rsidRDefault="009E2F58" w:rsidP="0038732A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38732A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38732A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38732A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1173941B" w14:textId="77777777" w:rsidR="009E2F58" w:rsidRDefault="009E2F58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  <w:lang w:val="x-none"/>
        </w:rPr>
      </w:pP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19B08F47" w14:textId="77777777" w:rsidR="00000000" w:rsidRDefault="00884E19"/>
    <w:sectPr w:rsidR="00000000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725B8" w14:textId="77777777" w:rsidR="007A3FC4" w:rsidRDefault="007A3FC4">
      <w:r>
        <w:separator/>
      </w:r>
    </w:p>
  </w:endnote>
  <w:endnote w:type="continuationSeparator" w:id="0">
    <w:p w14:paraId="1C6B9490" w14:textId="77777777" w:rsidR="007A3FC4" w:rsidRDefault="007A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18E336BF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E19" w:rsidRPr="00884E19">
          <w:rPr>
            <w:noProof/>
            <w:lang w:val="ru-RU"/>
          </w:rPr>
          <w:t>13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C8624" w14:textId="77777777" w:rsidR="007A3FC4" w:rsidRDefault="007A3FC4">
      <w:r>
        <w:separator/>
      </w:r>
    </w:p>
  </w:footnote>
  <w:footnote w:type="continuationSeparator" w:id="0">
    <w:p w14:paraId="142E66D7" w14:textId="77777777" w:rsidR="007A3FC4" w:rsidRDefault="007A3FC4">
      <w:r>
        <w:continuationSeparator/>
      </w:r>
    </w:p>
  </w:footnote>
  <w:footnote w:id="1">
    <w:p w14:paraId="4264978D" w14:textId="42895DDC" w:rsidR="005D3944" w:rsidRPr="005D3944" w:rsidRDefault="005D3944">
      <w:pPr>
        <w:pStyle w:val="afa"/>
      </w:pPr>
      <w:r>
        <w:rPr>
          <w:rStyle w:val="ab"/>
        </w:rPr>
        <w:footnoteRef/>
      </w:r>
      <w:r>
        <w:t xml:space="preserve"> </w:t>
      </w:r>
      <w:r w:rsidRPr="001C6D9A"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6E67CE5C" w14:textId="223FBC3B" w:rsidR="005504D8" w:rsidRPr="005504D8" w:rsidRDefault="005504D8">
      <w:pPr>
        <w:pStyle w:val="afa"/>
      </w:pPr>
      <w:r>
        <w:rPr>
          <w:rStyle w:val="ab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1DA9B6B5" w14:textId="663D2A2A" w:rsidR="001846A9" w:rsidRPr="008263B2" w:rsidRDefault="001846A9" w:rsidP="001846A9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8263B2">
        <w:rPr>
          <w:rStyle w:val="ab"/>
          <w:sz w:val="16"/>
          <w:szCs w:val="16"/>
        </w:rPr>
        <w:footnoteRef/>
      </w:r>
      <w:r w:rsidRPr="008263B2">
        <w:rPr>
          <w:sz w:val="16"/>
          <w:szCs w:val="16"/>
        </w:rPr>
        <w:t xml:space="preserve"> </w:t>
      </w:r>
      <w:r w:rsidRPr="008263B2"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14:paraId="169E043B" w14:textId="768EFAEC" w:rsidR="001846A9" w:rsidRPr="008263B2" w:rsidRDefault="001846A9">
      <w:pPr>
        <w:pStyle w:val="afa"/>
        <w:rPr>
          <w:sz w:val="16"/>
          <w:szCs w:val="16"/>
        </w:rPr>
      </w:pPr>
      <w:r w:rsidRPr="008263B2">
        <w:rPr>
          <w:rStyle w:val="ab"/>
          <w:sz w:val="16"/>
          <w:szCs w:val="16"/>
        </w:rPr>
        <w:footnoteRef/>
      </w:r>
      <w:r w:rsidRPr="008263B2">
        <w:rPr>
          <w:sz w:val="16"/>
          <w:szCs w:val="16"/>
        </w:rPr>
        <w:t xml:space="preserve"> </w:t>
      </w:r>
      <w:r w:rsidRPr="008263B2"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5DDE20CE" w14:textId="2F851470" w:rsidR="009E2F58" w:rsidRPr="008263B2" w:rsidRDefault="00A119C8" w:rsidP="009E2F58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8263B2">
        <w:rPr>
          <w:rStyle w:val="ab"/>
          <w:sz w:val="16"/>
          <w:szCs w:val="16"/>
        </w:rPr>
        <w:footnoteRef/>
      </w:r>
      <w:r w:rsidR="009E2F58" w:rsidRPr="008263B2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6">
    <w:p w14:paraId="08CFD17B" w14:textId="52B00EC5" w:rsidR="009E2F58" w:rsidRPr="008263B2" w:rsidRDefault="00042775" w:rsidP="009E2F58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8263B2">
        <w:rPr>
          <w:rStyle w:val="ab"/>
          <w:sz w:val="16"/>
          <w:szCs w:val="16"/>
        </w:rPr>
        <w:footnoteRef/>
      </w:r>
      <w:r w:rsidRPr="008263B2"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 w:rsidRPr="008263B2"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</w:footnote>
  <w:footnote w:id="7">
    <w:p w14:paraId="024BD138" w14:textId="77777777" w:rsidR="008263B2" w:rsidRPr="008263B2" w:rsidRDefault="008263B2" w:rsidP="008263B2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8263B2">
        <w:rPr>
          <w:rStyle w:val="ab"/>
          <w:sz w:val="16"/>
          <w:szCs w:val="16"/>
        </w:rPr>
        <w:footnoteRef/>
      </w:r>
      <w:r w:rsidRPr="008263B2">
        <w:rPr>
          <w:sz w:val="16"/>
          <w:szCs w:val="16"/>
          <w:lang w:val="ru-RU"/>
        </w:rPr>
        <w:t xml:space="preserve">В случае проведения аукциона </w:t>
      </w:r>
      <w:r w:rsidRPr="008263B2">
        <w:rPr>
          <w:sz w:val="16"/>
          <w:szCs w:val="16"/>
        </w:rPr>
        <w:t>в электронной форме</w:t>
      </w:r>
      <w:r w:rsidRPr="008263B2"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</w:t>
      </w:r>
      <w:r w:rsidRPr="008263B2">
        <w:rPr>
          <w:sz w:val="16"/>
          <w:szCs w:val="16"/>
          <w:lang w:val="ru-RU"/>
        </w:rPr>
        <w:br/>
        <w:t>с видом разрешенного использования: для ведения личного подсобного хозяйства (приусадебный земельный участок)</w:t>
      </w:r>
    </w:p>
    <w:p w14:paraId="463D872D" w14:textId="31A61501" w:rsidR="00691B26" w:rsidRPr="008C1775" w:rsidRDefault="00691B26" w:rsidP="00691B26">
      <w:pPr>
        <w:pStyle w:val="afa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3C63"/>
    <w:rsid w:val="00084314"/>
    <w:rsid w:val="00084534"/>
    <w:rsid w:val="0008454E"/>
    <w:rsid w:val="000847F7"/>
    <w:rsid w:val="00085647"/>
    <w:rsid w:val="00085870"/>
    <w:rsid w:val="000867D2"/>
    <w:rsid w:val="000869CB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F06A0"/>
    <w:rsid w:val="000F0F8E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1404"/>
    <w:rsid w:val="001619F4"/>
    <w:rsid w:val="0016373B"/>
    <w:rsid w:val="00163914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4119"/>
    <w:rsid w:val="001C46E4"/>
    <w:rsid w:val="001C4B6C"/>
    <w:rsid w:val="001C5FF1"/>
    <w:rsid w:val="001C6A75"/>
    <w:rsid w:val="001C707E"/>
    <w:rsid w:val="001C79FD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7610"/>
    <w:rsid w:val="00737832"/>
    <w:rsid w:val="00737F1D"/>
    <w:rsid w:val="007404A3"/>
    <w:rsid w:val="00740811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E19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7F1E"/>
    <w:rsid w:val="00E10355"/>
    <w:rsid w:val="00E10E8E"/>
    <w:rsid w:val="00E11844"/>
    <w:rsid w:val="00E11EBD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A000D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A04D2"/>
    <w:rsid w:val="00FA133E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67E3ED2"/>
  <w15:docId w15:val="{08D81EB4-074B-4D89-BAB0-52052B81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01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0BFB2C-0A6D-4513-9EE5-21915E0BF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6049</Words>
  <Characters>34481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40450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Коротаева Наталия Павловна</cp:lastModifiedBy>
  <cp:revision>2</cp:revision>
  <cp:lastPrinted>2021-08-16T14:46:00Z</cp:lastPrinted>
  <dcterms:created xsi:type="dcterms:W3CDTF">2025-09-26T09:59:00Z</dcterms:created>
  <dcterms:modified xsi:type="dcterms:W3CDTF">2025-09-26T09:59:00Z</dcterms:modified>
</cp:coreProperties>
</file>