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EA" w:rsidRDefault="009543EA" w:rsidP="009543EA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4998720" cy="65697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остановле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Pr="007305B8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7305B8">
        <w:rPr>
          <w:rFonts w:ascii="Times New Roman" w:hAnsi="Times New Roman" w:cs="Times New Roman"/>
          <w:b w:val="0"/>
        </w:rPr>
        <w:t>городского округа Лотошино</w:t>
      </w:r>
    </w:p>
    <w:p w:rsidR="00016B14" w:rsidRPr="007305B8" w:rsidRDefault="00BD6151" w:rsidP="00AE6B2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05B8">
        <w:rPr>
          <w:rFonts w:ascii="Times New Roman" w:hAnsi="Times New Roman" w:cs="Times New Roman"/>
          <w:b w:val="0"/>
        </w:rPr>
        <w:t>от</w:t>
      </w:r>
      <w:r w:rsidR="0048069D">
        <w:rPr>
          <w:rFonts w:ascii="Times New Roman" w:hAnsi="Times New Roman" w:cs="Times New Roman"/>
          <w:b w:val="0"/>
        </w:rPr>
        <w:t xml:space="preserve"> 25</w:t>
      </w:r>
      <w:r w:rsidR="0027410D">
        <w:rPr>
          <w:rFonts w:ascii="Times New Roman" w:hAnsi="Times New Roman" w:cs="Times New Roman"/>
          <w:b w:val="0"/>
        </w:rPr>
        <w:t>.</w:t>
      </w:r>
      <w:r w:rsidR="00791C1E">
        <w:rPr>
          <w:rFonts w:ascii="Times New Roman" w:hAnsi="Times New Roman" w:cs="Times New Roman"/>
          <w:b w:val="0"/>
        </w:rPr>
        <w:t>12</w:t>
      </w:r>
      <w:r w:rsidR="0027410D">
        <w:rPr>
          <w:rFonts w:ascii="Times New Roman" w:hAnsi="Times New Roman" w:cs="Times New Roman"/>
          <w:b w:val="0"/>
        </w:rPr>
        <w:t>.2024</w:t>
      </w:r>
      <w:r w:rsidRPr="007305B8">
        <w:rPr>
          <w:rFonts w:ascii="Times New Roman" w:hAnsi="Times New Roman" w:cs="Times New Roman"/>
          <w:b w:val="0"/>
        </w:rPr>
        <w:t xml:space="preserve">   </w:t>
      </w:r>
      <w:r w:rsidR="00657102" w:rsidRPr="007305B8">
        <w:rPr>
          <w:rFonts w:ascii="Times New Roman" w:hAnsi="Times New Roman" w:cs="Times New Roman"/>
          <w:b w:val="0"/>
        </w:rPr>
        <w:t>№</w:t>
      </w:r>
      <w:r w:rsidR="0048069D">
        <w:rPr>
          <w:rFonts w:ascii="Times New Roman" w:hAnsi="Times New Roman" w:cs="Times New Roman"/>
          <w:b w:val="0"/>
        </w:rPr>
        <w:t>1731</w:t>
      </w:r>
    </w:p>
    <w:p w:rsidR="00D7326A" w:rsidRPr="007305B8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305B8">
        <w:rPr>
          <w:rFonts w:ascii="Times New Roman" w:hAnsi="Times New Roman" w:cs="Times New Roman"/>
          <w:sz w:val="32"/>
          <w:szCs w:val="32"/>
        </w:rPr>
        <w:t xml:space="preserve">Муниципальная программа </w:t>
      </w:r>
      <w:r w:rsidR="00862FD0" w:rsidRPr="007305B8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7305B8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7305B8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7305B8" w:rsidRDefault="00D10A0D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>
        <w:r w:rsidR="00B32292" w:rsidRPr="007305B8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7305B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7305B8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7305B8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0825A8" w:rsidP="00A7215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 городского округа Лотошино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7305B8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7305B8">
              <w:rPr>
                <w:sz w:val="24"/>
              </w:rPr>
              <w:t>1.Укрепление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7305B8">
              <w:rPr>
                <w:rFonts w:eastAsiaTheme="minorEastAsia" w:cs="Times New Roman"/>
                <w:sz w:val="24"/>
                <w:szCs w:val="24"/>
              </w:rPr>
              <w:t>2.</w:t>
            </w:r>
            <w:r w:rsidR="001F02DE"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Достижение устойчиво высоких темпов экономического роста, обеспечивающих повышение уровня жизни жителей городского округа Лотошино</w:t>
            </w:r>
          </w:p>
          <w:p w:rsidR="00C068F2" w:rsidRPr="007305B8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7305B8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Pr="007305B8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7305B8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D4540E" w:rsidRPr="007305B8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подпрограмм:</w:t>
            </w:r>
          </w:p>
        </w:tc>
      </w:tr>
      <w:tr w:rsidR="00D4540E" w:rsidRPr="007305B8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1. Подпрограмма 1 «Инвестиции»</w:t>
            </w:r>
          </w:p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7305B8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7305B8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7305B8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малого и среднего предпринимательства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4. Подпрограмма IV «Развитие потребительского рынка и услуг</w:t>
            </w:r>
            <w:r w:rsidR="00EB44DB"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на территории </w:t>
            </w:r>
            <w:r w:rsidR="00771229">
              <w:rPr>
                <w:rFonts w:eastAsiaTheme="minorEastAsia" w:cs="Times New Roman"/>
                <w:i/>
                <w:sz w:val="22"/>
                <w:lang w:eastAsia="ru-RU"/>
              </w:rPr>
              <w:t xml:space="preserve">муниципального </w:t>
            </w:r>
            <w:r w:rsidR="00520B21">
              <w:rPr>
                <w:rFonts w:eastAsiaTheme="minorEastAsia" w:cs="Times New Roman"/>
                <w:i/>
                <w:sz w:val="22"/>
                <w:lang w:eastAsia="ru-RU"/>
              </w:rPr>
              <w:t xml:space="preserve">образования </w:t>
            </w:r>
            <w:r w:rsidR="00520B21" w:rsidRPr="007305B8">
              <w:rPr>
                <w:rFonts w:eastAsiaTheme="minorEastAsia" w:cs="Times New Roman"/>
                <w:i/>
                <w:sz w:val="22"/>
                <w:lang w:eastAsia="ru-RU"/>
              </w:rPr>
              <w:t>Московской</w:t>
            </w:r>
            <w:r w:rsidR="00EB44DB"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 области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771229" w:rsidP="0077122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Лотошино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ектор торговли и потребительского рынка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1. 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540E" w:rsidRPr="007305B8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7305B8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791C1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91C1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791C1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0C1B76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1B76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0C1B76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  <w:r w:rsidR="006D4F4B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0C1B76" w:rsidP="006D4F4B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7305B8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4540E" w:rsidRPr="007305B8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6D4F4B" w:rsidP="00791C1E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1B76"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91C1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6D4F4B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C1B76" w:rsidP="00791C1E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1C1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C1B76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7305B8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7305B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7305B8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05B8">
        <w:rPr>
          <w:rFonts w:ascii="Times New Roman" w:hAnsi="Times New Roman" w:cs="Times New Roman"/>
        </w:rPr>
        <w:t xml:space="preserve">  </w:t>
      </w:r>
    </w:p>
    <w:p w:rsidR="00862FD0" w:rsidRPr="007305B8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A72153" w:rsidRPr="007305B8" w:rsidRDefault="00A72153" w:rsidP="00862FD0">
      <w:pPr>
        <w:contextualSpacing/>
        <w:jc w:val="center"/>
        <w:outlineLvl w:val="0"/>
        <w:rPr>
          <w:sz w:val="24"/>
        </w:rPr>
      </w:pPr>
    </w:p>
    <w:p w:rsidR="00A72153" w:rsidRPr="007305B8" w:rsidRDefault="00A72153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7305B8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7305B8" w:rsidRDefault="00862FD0" w:rsidP="00862FD0">
      <w:pPr>
        <w:contextualSpacing/>
        <w:jc w:val="center"/>
        <w:outlineLvl w:val="0"/>
        <w:rPr>
          <w:b/>
          <w:szCs w:val="28"/>
        </w:rPr>
      </w:pPr>
      <w:r w:rsidRPr="007305B8">
        <w:rPr>
          <w:b/>
          <w:szCs w:val="28"/>
        </w:rPr>
        <w:lastRenderedPageBreak/>
        <w:t xml:space="preserve">Краткая характеристика сферы реализации </w:t>
      </w:r>
      <w:r w:rsidR="0097532F" w:rsidRPr="007305B8">
        <w:rPr>
          <w:b/>
          <w:szCs w:val="28"/>
        </w:rPr>
        <w:t>муниципальной</w:t>
      </w:r>
      <w:r w:rsidR="007F3258" w:rsidRPr="007305B8">
        <w:rPr>
          <w:b/>
          <w:szCs w:val="28"/>
        </w:rPr>
        <w:t xml:space="preserve"> программы</w:t>
      </w:r>
    </w:p>
    <w:p w:rsidR="00862FD0" w:rsidRPr="007305B8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7305B8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7305B8">
        <w:rPr>
          <w:szCs w:val="28"/>
        </w:rPr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7305B8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 xml:space="preserve">По результатам Всероссийской переписи населения в городском округе </w:t>
      </w:r>
      <w:r w:rsidR="004536E9" w:rsidRPr="007305B8">
        <w:rPr>
          <w:szCs w:val="28"/>
        </w:rPr>
        <w:t>Лотошино проживает</w:t>
      </w:r>
      <w:r w:rsidRPr="007305B8">
        <w:rPr>
          <w:szCs w:val="28"/>
        </w:rPr>
        <w:t xml:space="preserve"> 22217 человек. Ситуация в социально-трудовой </w:t>
      </w:r>
      <w:r w:rsidR="004536E9" w:rsidRPr="007305B8">
        <w:rPr>
          <w:szCs w:val="28"/>
        </w:rPr>
        <w:t>сфере в</w:t>
      </w:r>
      <w:r w:rsidRPr="007305B8">
        <w:rPr>
          <w:szCs w:val="28"/>
        </w:rPr>
        <w:t xml:space="preserve">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7305B8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7305B8" w:rsidRDefault="00A34479" w:rsidP="00862FD0">
      <w:pPr>
        <w:ind w:firstLine="709"/>
        <w:jc w:val="both"/>
        <w:rPr>
          <w:szCs w:val="28"/>
        </w:rPr>
      </w:pPr>
      <w:r w:rsidRPr="007305B8">
        <w:rPr>
          <w:szCs w:val="28"/>
        </w:rPr>
        <w:t xml:space="preserve">  </w:t>
      </w:r>
      <w:r w:rsidR="00862FD0" w:rsidRPr="007305B8">
        <w:rPr>
          <w:szCs w:val="28"/>
        </w:rPr>
        <w:t xml:space="preserve">Приоритетным направлением развития экономики </w:t>
      </w:r>
      <w:r w:rsidR="00B676B5" w:rsidRPr="007305B8">
        <w:rPr>
          <w:szCs w:val="28"/>
        </w:rPr>
        <w:t xml:space="preserve">городского округа </w:t>
      </w:r>
      <w:r w:rsidR="004536E9" w:rsidRPr="007305B8">
        <w:rPr>
          <w:szCs w:val="28"/>
        </w:rPr>
        <w:t>Лотошино Московской</w:t>
      </w:r>
      <w:r w:rsidR="00862FD0" w:rsidRPr="007305B8">
        <w:rPr>
          <w:szCs w:val="28"/>
        </w:rPr>
        <w:t xml:space="preserve"> области является развитие конкуренции. Осуществление закупок для обеспечения </w:t>
      </w:r>
      <w:r w:rsidR="0097532F" w:rsidRPr="007305B8">
        <w:rPr>
          <w:szCs w:val="28"/>
        </w:rPr>
        <w:t>муниципальных</w:t>
      </w:r>
      <w:r w:rsidR="00862FD0" w:rsidRPr="007305B8">
        <w:rPr>
          <w:szCs w:val="28"/>
        </w:rPr>
        <w:t xml:space="preserve"> нужд составляет значительный сегмент </w:t>
      </w:r>
      <w:r w:rsidR="0097532F" w:rsidRPr="007305B8">
        <w:rPr>
          <w:szCs w:val="28"/>
        </w:rPr>
        <w:t>муниципальной</w:t>
      </w:r>
      <w:r w:rsidR="00862FD0" w:rsidRPr="007305B8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7305B8">
        <w:rPr>
          <w:szCs w:val="28"/>
        </w:rPr>
        <w:t>о всех</w:t>
      </w:r>
      <w:r w:rsidR="00862FD0" w:rsidRPr="007305B8">
        <w:rPr>
          <w:szCs w:val="28"/>
        </w:rPr>
        <w:t xml:space="preserve"> отраслях. </w:t>
      </w:r>
      <w:r w:rsidR="0097532F" w:rsidRPr="007305B8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7305B8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7305B8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7305B8">
        <w:rPr>
          <w:szCs w:val="28"/>
        </w:rPr>
        <w:t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</w:t>
      </w:r>
      <w:r w:rsidR="008F2A48" w:rsidRPr="007305B8">
        <w:rPr>
          <w:szCs w:val="28"/>
        </w:rPr>
        <w:t>3</w:t>
      </w:r>
      <w:r w:rsidRPr="007305B8">
        <w:rPr>
          <w:szCs w:val="28"/>
        </w:rPr>
        <w:t xml:space="preserve">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</w:t>
      </w:r>
      <w:r w:rsidR="008F2A48" w:rsidRPr="007305B8">
        <w:rPr>
          <w:szCs w:val="28"/>
        </w:rPr>
        <w:t>9</w:t>
      </w:r>
      <w:r w:rsidRPr="007305B8">
        <w:rPr>
          <w:szCs w:val="28"/>
        </w:rPr>
        <w:t xml:space="preserve">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7305B8" w:rsidRDefault="007523D8" w:rsidP="007523D8">
      <w:pPr>
        <w:ind w:firstLine="567"/>
        <w:jc w:val="both"/>
        <w:rPr>
          <w:szCs w:val="28"/>
        </w:rPr>
      </w:pPr>
      <w:r w:rsidRPr="007305B8">
        <w:rPr>
          <w:szCs w:val="28"/>
        </w:rPr>
        <w:lastRenderedPageBreak/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7305B8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7305B8">
        <w:rPr>
          <w:rFonts w:eastAsia="Times New Roman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7305B8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7305B8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305B8">
        <w:rPr>
          <w:szCs w:val="28"/>
        </w:rPr>
        <w:t xml:space="preserve">Состояние отрасли характеризуется </w:t>
      </w:r>
      <w:r w:rsidR="004C29DF" w:rsidRPr="007305B8">
        <w:rPr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7305B8">
        <w:rPr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7305B8">
        <w:rPr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7305B8">
        <w:rPr>
          <w:szCs w:val="28"/>
        </w:rPr>
        <w:t>.</w:t>
      </w:r>
      <w:r w:rsidR="009D7537" w:rsidRPr="007305B8">
        <w:rPr>
          <w:szCs w:val="28"/>
        </w:rPr>
        <w:t xml:space="preserve"> </w:t>
      </w:r>
    </w:p>
    <w:p w:rsidR="00862FD0" w:rsidRPr="007305B8" w:rsidRDefault="00862FD0" w:rsidP="00862FD0">
      <w:pPr>
        <w:ind w:firstLine="709"/>
        <w:jc w:val="both"/>
        <w:rPr>
          <w:szCs w:val="28"/>
        </w:rPr>
      </w:pPr>
    </w:p>
    <w:p w:rsidR="00862FD0" w:rsidRPr="007305B8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7305B8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7305B8">
        <w:rPr>
          <w:b/>
          <w:szCs w:val="28"/>
        </w:rPr>
        <w:t xml:space="preserve">муниципальной </w:t>
      </w:r>
      <w:r w:rsidRPr="007305B8">
        <w:rPr>
          <w:b/>
          <w:szCs w:val="28"/>
        </w:rPr>
        <w:t xml:space="preserve">программы </w:t>
      </w:r>
    </w:p>
    <w:p w:rsidR="00D71AE7" w:rsidRPr="007305B8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7305B8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7305B8">
        <w:rPr>
          <w:rFonts w:eastAsia="Times New Roman" w:cs="Times New Roman"/>
          <w:szCs w:val="28"/>
          <w:lang w:eastAsia="ru-RU"/>
        </w:rPr>
        <w:t>ит</w:t>
      </w:r>
      <w:r w:rsidRPr="007305B8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7305B8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В 2023-2027 </w:t>
      </w:r>
      <w:r w:rsidR="00A76FD2" w:rsidRPr="007305B8">
        <w:rPr>
          <w:rFonts w:eastAsia="Times New Roman" w:cs="Times New Roman"/>
          <w:szCs w:val="28"/>
          <w:lang w:eastAsia="ru-RU"/>
        </w:rPr>
        <w:t>гг.</w:t>
      </w:r>
      <w:r w:rsidRPr="007305B8">
        <w:rPr>
          <w:rFonts w:eastAsia="Times New Roman" w:cs="Times New Roman"/>
          <w:szCs w:val="28"/>
          <w:lang w:eastAsia="ru-RU"/>
        </w:rPr>
        <w:t xml:space="preserve"> планируется несколько инвестиционных проектов:</w:t>
      </w:r>
    </w:p>
    <w:p w:rsidR="00A16617" w:rsidRPr="007305B8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7305B8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7305B8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7305B8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7305B8">
        <w:rPr>
          <w:rFonts w:eastAsia="Times New Roman" w:cs="Times New Roman"/>
          <w:szCs w:val="28"/>
          <w:lang w:eastAsia="ru-RU"/>
        </w:rPr>
        <w:t>»</w:t>
      </w:r>
    </w:p>
    <w:p w:rsidR="00513278" w:rsidRPr="007305B8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lastRenderedPageBreak/>
        <w:t>«Производство соков из квашенных овощей».</w:t>
      </w:r>
    </w:p>
    <w:p w:rsidR="00872E01" w:rsidRPr="007305B8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305B8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</w:t>
      </w:r>
      <w:r w:rsidR="00027919" w:rsidRPr="007305B8">
        <w:rPr>
          <w:rFonts w:ascii="Times New Roman" w:hAnsi="Times New Roman" w:cs="Times New Roman"/>
          <w:sz w:val="28"/>
          <w:szCs w:val="28"/>
        </w:rPr>
        <w:t>развития городского</w:t>
      </w:r>
      <w:r w:rsidR="00BF7654" w:rsidRPr="007305B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7305B8">
        <w:rPr>
          <w:rFonts w:ascii="Times New Roman" w:hAnsi="Times New Roman" w:cs="Times New Roman"/>
          <w:sz w:val="28"/>
          <w:szCs w:val="28"/>
        </w:rPr>
        <w:t>а</w:t>
      </w:r>
      <w:r w:rsidR="00BF7654" w:rsidRPr="007305B8">
        <w:rPr>
          <w:rFonts w:ascii="Times New Roman" w:hAnsi="Times New Roman" w:cs="Times New Roman"/>
          <w:sz w:val="28"/>
          <w:szCs w:val="28"/>
        </w:rPr>
        <w:t xml:space="preserve"> </w:t>
      </w:r>
      <w:r w:rsidR="00027919" w:rsidRPr="007305B8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7305B8">
        <w:rPr>
          <w:rFonts w:ascii="Times New Roman" w:hAnsi="Times New Roman" w:cs="Times New Roman"/>
          <w:sz w:val="28"/>
          <w:szCs w:val="28"/>
        </w:rPr>
        <w:t xml:space="preserve">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730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7305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7305B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7305B8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7305B8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7305B8" w:rsidRDefault="00F51CB9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Реализация Подпрограмма IV позволит </w:t>
      </w:r>
      <w:r w:rsidR="00E4317F" w:rsidRPr="007305B8">
        <w:rPr>
          <w:rFonts w:eastAsia="Times New Roman" w:cs="Times New Roman"/>
          <w:szCs w:val="28"/>
          <w:lang w:eastAsia="ru-RU"/>
        </w:rPr>
        <w:t>увеличить</w:t>
      </w:r>
      <w:r w:rsidRPr="007305B8">
        <w:rPr>
          <w:rFonts w:eastAsia="Times New Roman" w:cs="Times New Roman"/>
          <w:szCs w:val="28"/>
          <w:lang w:eastAsia="ru-RU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7305B8" w:rsidRDefault="00B3686D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7305B8" w:rsidRDefault="00F40524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305B8">
        <w:rPr>
          <w:rFonts w:eastAsia="Times New Roman" w:cs="Times New Roman"/>
          <w:szCs w:val="28"/>
          <w:lang w:eastAsia="ru-RU"/>
        </w:rPr>
        <w:t xml:space="preserve">Одним из направлений реализации Подпрограммы </w:t>
      </w:r>
      <w:r w:rsidR="00E4317F" w:rsidRPr="007305B8">
        <w:rPr>
          <w:rFonts w:eastAsia="Times New Roman" w:cs="Times New Roman"/>
          <w:szCs w:val="28"/>
          <w:lang w:eastAsia="ru-RU"/>
        </w:rPr>
        <w:t>«Развитие потребительского рынка и услуг»</w:t>
      </w:r>
      <w:r w:rsidRPr="007305B8">
        <w:rPr>
          <w:rFonts w:eastAsia="Times New Roman" w:cs="Times New Roman"/>
          <w:szCs w:val="28"/>
          <w:lang w:eastAsia="ru-RU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10" w:history="1">
        <w:r w:rsidRPr="007305B8">
          <w:rPr>
            <w:rFonts w:eastAsia="Times New Roman" w:cs="Times New Roman"/>
            <w:szCs w:val="28"/>
            <w:lang w:eastAsia="ru-RU"/>
          </w:rPr>
          <w:t>Стратегии</w:t>
        </w:r>
      </w:hyperlink>
      <w:r w:rsidRPr="007305B8">
        <w:rPr>
          <w:rFonts w:eastAsia="Times New Roman" w:cs="Times New Roman"/>
          <w:szCs w:val="28"/>
          <w:lang w:eastAsia="ru-RU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7305B8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показатели муниципальной программы </w:t>
      </w:r>
    </w:p>
    <w:p w:rsidR="00016B14" w:rsidRPr="007305B8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05B8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7305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D4540E" w:rsidRPr="007305B8" w:rsidTr="002768B7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7305B8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A73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A73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A73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A73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A73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883630" w:rsidP="00A73521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7305B8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7305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7305B8">
              <w:rPr>
                <w:sz w:val="24"/>
              </w:rPr>
              <w:t xml:space="preserve"> </w:t>
            </w:r>
            <w:r w:rsidRPr="007305B8">
              <w:rPr>
                <w:sz w:val="24"/>
              </w:rPr>
              <w:t>У</w:t>
            </w:r>
            <w:r w:rsidR="00883630" w:rsidRPr="007305B8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7305B8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305B8">
              <w:rPr>
                <w:sz w:val="16"/>
                <w:szCs w:val="20"/>
              </w:rPr>
              <w:t>Показатель:</w:t>
            </w:r>
          </w:p>
          <w:p w:rsidR="0047432A" w:rsidRPr="007305B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305B8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7305B8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DB6760" w:rsidP="0053239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</w:t>
            </w:r>
            <w:r w:rsidR="0053239C">
              <w:rPr>
                <w:rFonts w:eastAsia="SimSu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Pr="007305B8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7305B8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7305B8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305B8">
              <w:rPr>
                <w:rFonts w:ascii="Times New Roman" w:hAnsi="Times New Roman" w:cs="Times New Roman"/>
                <w:sz w:val="16"/>
              </w:rPr>
              <w:t>Показатель:</w:t>
            </w:r>
          </w:p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305B8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7305B8">
              <w:rPr>
                <w:rFonts w:cs="Times New Roman"/>
                <w:sz w:val="16"/>
                <w:szCs w:val="20"/>
              </w:rPr>
              <w:t xml:space="preserve">Показатель: </w:t>
            </w:r>
          </w:p>
          <w:p w:rsidR="00A95238" w:rsidRPr="007305B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7305B8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jc w:val="center"/>
              <w:rPr>
                <w:i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16</w:t>
            </w:r>
            <w:r w:rsidR="00606D3C" w:rsidRPr="007305B8">
              <w:rPr>
                <w:rFonts w:eastAsia="SimSun" w:cs="Times New Roman"/>
                <w:sz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3239C" w:rsidP="0053239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11</w:t>
            </w:r>
            <w:r w:rsidR="00606D3C" w:rsidRPr="007305B8">
              <w:rPr>
                <w:rFonts w:eastAsia="SimSun" w:cs="Times New Roman"/>
                <w:sz w:val="22"/>
              </w:rPr>
              <w:t>,</w:t>
            </w:r>
            <w:r>
              <w:rPr>
                <w:rFonts w:eastAsia="SimSu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7305B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7305B8"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1F02D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2. </w:t>
            </w:r>
            <w:r w:rsidR="001F02DE" w:rsidRPr="007305B8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>Достижение устойчиво высоких темпов экономического роста, обеспечивающих повышение уровня жизни жителей городского округа Лотошино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</w:rPr>
              <w:t xml:space="preserve">Индекс совокупной </w:t>
            </w:r>
            <w:r w:rsidRPr="007305B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результативности реализации мероприятий, направленных на 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72153" w:rsidP="00A95238">
            <w:pPr>
              <w:pStyle w:val="ConsPlusNormal"/>
              <w:contextualSpacing/>
              <w:jc w:val="center"/>
              <w:rPr>
                <w:rFonts w:ascii="Times New Roman" w:eastAsiaTheme="minorHAnsi" w:hAnsi="Times New Roman" w:cstheme="minorBidi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i/>
                <w:szCs w:val="22"/>
                <w:lang w:eastAsia="en-US"/>
              </w:rPr>
              <w:lastRenderedPageBreak/>
              <w:t>приоритетный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305B8">
              <w:rPr>
                <w:rFonts w:ascii="Times New Roman" w:hAnsi="Times New Roman" w:cs="Times New Roman"/>
                <w:i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305B8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</w:t>
            </w:r>
            <w:r w:rsidRPr="007305B8">
              <w:rPr>
                <w:rFonts w:eastAsia="Roman" w:cs="Times New Roman"/>
                <w:i/>
                <w:sz w:val="16"/>
                <w:szCs w:val="16"/>
              </w:rPr>
              <w:lastRenderedPageBreak/>
              <w:t xml:space="preserve">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DD13DC" w:rsidP="00C4587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lastRenderedPageBreak/>
              <w:t xml:space="preserve">мероприятия </w:t>
            </w:r>
            <w:r w:rsidR="00A95238" w:rsidRPr="007305B8">
              <w:rPr>
                <w:rFonts w:cs="Times New Roman"/>
                <w:sz w:val="16"/>
                <w:szCs w:val="16"/>
              </w:rPr>
              <w:t xml:space="preserve">50.01, 50.02, 50.03,50.04, 50.05, </w:t>
            </w:r>
            <w:r w:rsidR="00A95238" w:rsidRPr="007305B8">
              <w:rPr>
                <w:rFonts w:cs="Times New Roman"/>
                <w:sz w:val="16"/>
                <w:szCs w:val="16"/>
              </w:rPr>
              <w:lastRenderedPageBreak/>
              <w:t>50.06, 5</w:t>
            </w:r>
            <w:r w:rsidR="00C45878" w:rsidRPr="007305B8">
              <w:rPr>
                <w:rFonts w:cs="Times New Roman"/>
                <w:sz w:val="16"/>
                <w:szCs w:val="16"/>
              </w:rPr>
              <w:t>1</w:t>
            </w:r>
            <w:r w:rsidR="00A95238" w:rsidRPr="007305B8">
              <w:rPr>
                <w:rFonts w:cs="Times New Roman"/>
                <w:sz w:val="16"/>
                <w:szCs w:val="16"/>
              </w:rPr>
              <w:t>.01,5</w:t>
            </w:r>
            <w:r w:rsidR="00C45878" w:rsidRPr="007305B8">
              <w:rPr>
                <w:rFonts w:cs="Times New Roman"/>
                <w:sz w:val="16"/>
                <w:szCs w:val="16"/>
              </w:rPr>
              <w:t>1</w:t>
            </w:r>
            <w:r w:rsidR="00A95238" w:rsidRPr="007305B8">
              <w:rPr>
                <w:rFonts w:cs="Times New Roman"/>
                <w:sz w:val="16"/>
                <w:szCs w:val="16"/>
              </w:rPr>
              <w:t>.02.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 3</w:t>
            </w:r>
            <w:r w:rsidR="00C068F2" w:rsidRPr="007305B8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</w:t>
            </w:r>
            <w:r w:rsidR="0053606D">
              <w:rPr>
                <w:rFonts w:cs="Times New Roman"/>
                <w:sz w:val="16"/>
                <w:szCs w:val="16"/>
              </w:rPr>
              <w:t>тий и организаций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20,84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193E9B" w:rsidP="00193E9B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7305B8" w:rsidRDefault="001903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235,41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193E9B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7305B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305B8">
              <w:rPr>
                <w:rFonts w:cs="Times New Roman"/>
                <w:sz w:val="16"/>
                <w:szCs w:val="16"/>
              </w:rPr>
              <w:t>Количество вновь созданных субъектов м</w:t>
            </w:r>
            <w:r w:rsidR="0053606D">
              <w:rPr>
                <w:rFonts w:cs="Times New Roman"/>
                <w:sz w:val="16"/>
                <w:szCs w:val="16"/>
              </w:rPr>
              <w:t>алого и среднего бизнеса</w:t>
            </w:r>
            <w:r w:rsidRPr="007305B8"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5F41F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i/>
                <w:sz w:val="22"/>
              </w:rPr>
              <w:t>приоритетны</w:t>
            </w:r>
            <w:r w:rsidR="005F41FA" w:rsidRPr="007305B8"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47023C" w:rsidP="00193E9B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6</w:t>
            </w:r>
            <w:r w:rsidR="00193E9B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7305B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7305B8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EA" w:rsidRPr="007305B8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3.4.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68" w:rsidRPr="007305B8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DB2FEA" w:rsidRPr="007305B8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</w:t>
            </w:r>
            <w:r w:rsidRPr="007305B8">
              <w:rPr>
                <w:rFonts w:cs="Times New Roman"/>
                <w:sz w:val="16"/>
                <w:szCs w:val="16"/>
              </w:rPr>
              <w:lastRenderedPageBreak/>
              <w:t>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3606D">
              <w:rPr>
                <w:rFonts w:cs="Times New Roman"/>
                <w:sz w:val="16"/>
                <w:szCs w:val="16"/>
              </w:rPr>
              <w:t xml:space="preserve"> и среднего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9546A9" w:rsidP="00DB2FEA">
            <w:pPr>
              <w:shd w:val="clear" w:color="auto" w:fill="FFFFFF" w:themeFill="background1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lastRenderedPageBreak/>
              <w:t>отраслевой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7305B8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136D8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7305B8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DB2FEA" w:rsidRPr="007305B8" w:rsidRDefault="00136D8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7305B8" w:rsidRDefault="00001044" w:rsidP="00DB2FEA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A9" w:rsidRPr="007305B8" w:rsidRDefault="009070A9" w:rsidP="009070A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02.04</w:t>
            </w:r>
          </w:p>
          <w:p w:rsidR="00DB2FEA" w:rsidRPr="007305B8" w:rsidRDefault="00DB2FEA" w:rsidP="00DB2FEA">
            <w:pPr>
              <w:widowContro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0B67EB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0B67E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16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</w:rPr>
              <w:lastRenderedPageBreak/>
              <w:t>3.5.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0B67EB" w:rsidP="000B67E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05B8">
              <w:rPr>
                <w:rFonts w:cs="Times New Roman"/>
                <w:color w:val="000000" w:themeColor="text1"/>
                <w:sz w:val="16"/>
                <w:szCs w:val="16"/>
              </w:rPr>
              <w:t>Показатель:</w:t>
            </w:r>
          </w:p>
          <w:p w:rsidR="000B67EB" w:rsidRPr="007305B8" w:rsidRDefault="005F41FA" w:rsidP="005F41F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Количество заключенных договоров </w:t>
            </w:r>
            <w:r w:rsidR="000B67EB"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F232AD" w:rsidP="00DB2FEA">
            <w:pPr>
              <w:shd w:val="clear" w:color="auto" w:fill="FFFFFF" w:themeFill="background1"/>
              <w:rPr>
                <w:i/>
                <w:color w:val="000000" w:themeColor="text1"/>
                <w:sz w:val="22"/>
              </w:rPr>
            </w:pPr>
            <w:r w:rsidRPr="007305B8">
              <w:rPr>
                <w:i/>
                <w:color w:val="000000" w:themeColor="text1"/>
                <w:sz w:val="22"/>
              </w:rPr>
              <w:t>отраслевой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F232AD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A76A8F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F3C50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EB" w:rsidRPr="007305B8" w:rsidRDefault="00814E5B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</w:p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520B21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A76A8F" w:rsidRPr="007305B8" w:rsidRDefault="00A76A8F" w:rsidP="00A76A8F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A76A8F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 w:rsidR="00520B21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="00520B21"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0B67EB" w:rsidRPr="007305B8" w:rsidRDefault="000B67EB" w:rsidP="00A76A8F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EB" w:rsidRPr="007305B8" w:rsidRDefault="00F232AD" w:rsidP="009070A9">
            <w:pPr>
              <w:rPr>
                <w:rFonts w:eastAsia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Cs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</w:p>
        </w:tc>
      </w:tr>
      <w:tr w:rsidR="00D4540E" w:rsidRPr="007305B8" w:rsidTr="002768B7">
        <w:trPr>
          <w:jc w:val="center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7305B8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068F2" w:rsidRPr="007305B8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7305B8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СЭР,</w:t>
            </w:r>
          </w:p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lastRenderedPageBreak/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lastRenderedPageBreak/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664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94464">
              <w:rPr>
                <w:rFonts w:cs="Times New Roman"/>
                <w:color w:val="000000" w:themeColor="text1"/>
                <w:sz w:val="22"/>
              </w:rPr>
              <w:t>682,7</w:t>
            </w:r>
            <w:r w:rsidRPr="007305B8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lastRenderedPageBreak/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520B21" w:rsidRDefault="00520B21" w:rsidP="00520B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520B21">
              <w:rPr>
                <w:rFonts w:cs="Times New Roman"/>
                <w:sz w:val="16"/>
                <w:szCs w:val="16"/>
              </w:rPr>
              <w:lastRenderedPageBreak/>
              <w:t>мероприятия 4.01.01, 4.01.02, 4.01.04, 4.01</w:t>
            </w:r>
            <w:r w:rsidR="00190338">
              <w:rPr>
                <w:rFonts w:cs="Times New Roman"/>
                <w:sz w:val="16"/>
                <w:szCs w:val="16"/>
              </w:rPr>
              <w:t>.05, 4.01.06, 4.01.07, 4.01.08.</w:t>
            </w:r>
          </w:p>
          <w:p w:rsidR="00520B21" w:rsidRPr="00520B21" w:rsidRDefault="00520B21" w:rsidP="00520B21">
            <w:pPr>
              <w:widowControl w:val="0"/>
              <w:rPr>
                <w:rFonts w:cs="Times New Roman"/>
                <w:sz w:val="16"/>
                <w:szCs w:val="16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25,83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25,83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A73521" w:rsidRDefault="00520B21" w:rsidP="00194464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A73521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26,</w:t>
            </w:r>
            <w:r w:rsidR="00194464" w:rsidRPr="00A73521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7305B8">
              <w:rPr>
                <w:rFonts w:cs="Times New Roman"/>
                <w:sz w:val="16"/>
                <w:szCs w:val="16"/>
              </w:rPr>
              <w:t>4.51.01</w:t>
            </w:r>
          </w:p>
          <w:p w:rsidR="00520B21" w:rsidRPr="007305B8" w:rsidRDefault="00520B21" w:rsidP="00520B21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7,92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7,92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A73521" w:rsidRDefault="006B41F8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A73521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7305B8">
              <w:rPr>
                <w:rFonts w:cs="Times New Roman"/>
                <w:sz w:val="16"/>
                <w:szCs w:val="16"/>
              </w:rPr>
              <w:t>4.52.01,</w:t>
            </w: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520B21" w:rsidRPr="007305B8" w:rsidTr="002768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7305B8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 xml:space="preserve">приоритетные, показатель </w:t>
            </w:r>
            <w:r w:rsidRPr="007305B8">
              <w:rPr>
                <w:i/>
                <w:color w:val="000000" w:themeColor="text1"/>
                <w:sz w:val="22"/>
              </w:rPr>
              <w:t>региональной 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305B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21" w:rsidRPr="007305B8" w:rsidRDefault="00520B21" w:rsidP="00520B21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Администрация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городского округа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Лотошино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 (с</w:t>
            </w: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ектор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 xml:space="preserve">торговли и 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потребительского</w:t>
            </w:r>
          </w:p>
          <w:p w:rsidR="00520B21" w:rsidRPr="007305B8" w:rsidRDefault="00520B21" w:rsidP="00520B21">
            <w:pPr>
              <w:jc w:val="center"/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</w:pPr>
            <w:r w:rsidRPr="007305B8"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рынка</w:t>
            </w:r>
            <w:r>
              <w:rPr>
                <w:rFonts w:eastAsia="Roman" w:cs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520B21" w:rsidRPr="007305B8" w:rsidRDefault="00520B21" w:rsidP="00520B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  <w:r w:rsidRPr="007305B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7305B8">
              <w:rPr>
                <w:rFonts w:cs="Times New Roman"/>
                <w:sz w:val="16"/>
                <w:szCs w:val="16"/>
              </w:rPr>
              <w:t>4.53.01</w:t>
            </w:r>
          </w:p>
          <w:p w:rsidR="00520B21" w:rsidRPr="007305B8" w:rsidRDefault="00520B21" w:rsidP="00520B2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Pr="007305B8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E6A" w:rsidRPr="00C73E6A" w:rsidRDefault="00C73E6A" w:rsidP="00C73E6A">
      <w:pPr>
        <w:jc w:val="center"/>
        <w:rPr>
          <w:rFonts w:cs="Times New Roman"/>
          <w:b/>
          <w:sz w:val="24"/>
          <w:szCs w:val="24"/>
        </w:rPr>
      </w:pPr>
      <w:r w:rsidRPr="00C73E6A">
        <w:rPr>
          <w:rFonts w:cs="Times New Roman"/>
          <w:b/>
          <w:sz w:val="24"/>
          <w:szCs w:val="24"/>
        </w:rPr>
        <w:t xml:space="preserve">Методика </w:t>
      </w:r>
    </w:p>
    <w:p w:rsidR="00D717B1" w:rsidRPr="007305B8" w:rsidRDefault="00C73E6A" w:rsidP="00C73E6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73E6A">
        <w:rPr>
          <w:rFonts w:cs="Times New Roman"/>
          <w:b/>
          <w:sz w:val="24"/>
          <w:szCs w:val="24"/>
        </w:rPr>
        <w:t>расчета значений целевых показателей муниципальной программы</w:t>
      </w:r>
      <w:r w:rsidR="00C86995" w:rsidRPr="007305B8">
        <w:rPr>
          <w:rFonts w:cs="Times New Roman"/>
          <w:b/>
          <w:sz w:val="24"/>
          <w:szCs w:val="24"/>
        </w:rPr>
        <w:t xml:space="preserve"> </w:t>
      </w:r>
    </w:p>
    <w:p w:rsidR="00C86995" w:rsidRPr="007305B8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05B8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Pr="007305B8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102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4540E" w:rsidRPr="007305B8" w:rsidTr="00F318EE">
        <w:trPr>
          <w:gridAfter w:val="1"/>
          <w:wAfter w:w="24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4540E" w:rsidRPr="007305B8" w:rsidTr="00F318EE">
        <w:trPr>
          <w:gridAfter w:val="1"/>
          <w:wAfter w:w="24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540E" w:rsidRPr="007305B8" w:rsidTr="00F318EE">
        <w:trPr>
          <w:gridAfter w:val="1"/>
          <w:wAfter w:w="24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4540E" w:rsidRPr="007305B8" w:rsidTr="00F318EE">
        <w:trPr>
          <w:gridAfter w:val="1"/>
          <w:wAfter w:w="24" w:type="dxa"/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t xml:space="preserve">Объем инвестиций, привлеченных в основной капитал (без учета бюджетных инвестиций), на </w:t>
            </w:r>
            <w:r w:rsidRPr="007305B8">
              <w:rPr>
                <w:rFonts w:eastAsiaTheme="minorEastAsia" w:cs="Times New Roman"/>
                <w:i/>
                <w:sz w:val="22"/>
                <w:lang w:eastAsia="ru-RU"/>
              </w:rPr>
              <w:lastRenderedPageBreak/>
              <w:t>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cs="Times New Roman"/>
                <w:sz w:val="22"/>
              </w:rPr>
              <w:lastRenderedPageBreak/>
              <w:t>Тыс.руб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>И</w:t>
            </w: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дн – объем инвестиций, привлеченных в </w:t>
            </w: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года.</w:t>
            </w:r>
          </w:p>
          <w:p w:rsidR="00D717B1" w:rsidRPr="007305B8" w:rsidRDefault="00D717B1" w:rsidP="00A73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  <w:r w:rsidR="00A73521">
              <w:rPr>
                <w:rFonts w:eastAsiaTheme="minorEastAsia" w:cs="Times New Roman"/>
                <w:sz w:val="18"/>
                <w:szCs w:val="18"/>
                <w:lang w:eastAsia="ru-RU"/>
              </w:rPr>
              <w:t>. Базовое значение показателя 2021 год-21,2 тыс.руб.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024E93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>е</w:t>
            </w:r>
            <w:r w:rsidR="00D717B1" w:rsidRPr="007305B8">
              <w:rPr>
                <w:rFonts w:cs="Times New Roman"/>
                <w:sz w:val="18"/>
                <w:szCs w:val="18"/>
              </w:rPr>
              <w:t>же</w:t>
            </w:r>
            <w:r w:rsidR="008F2553" w:rsidRPr="007305B8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4540E" w:rsidRPr="007305B8" w:rsidTr="00F318EE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7305B8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  <w:r w:rsidR="00A73521">
              <w:rPr>
                <w:rFonts w:cs="Times New Roman"/>
                <w:bCs/>
                <w:sz w:val="18"/>
                <w:szCs w:val="18"/>
              </w:rPr>
              <w:t>.</w:t>
            </w:r>
            <w:r w:rsidR="00A73521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Базовое значение показателя 2021 год-</w:t>
            </w:r>
            <w:r w:rsidR="00614DB9">
              <w:rPr>
                <w:rFonts w:eastAsiaTheme="minorEastAsia" w:cs="Times New Roman"/>
                <w:sz w:val="18"/>
                <w:szCs w:val="18"/>
                <w:lang w:eastAsia="ru-RU"/>
              </w:rPr>
              <w:t>103,8 процента.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024E93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D717B1"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4540E" w:rsidRPr="007305B8" w:rsidTr="00F318EE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  <w:r w:rsidR="00614DB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Базовое значение показателя 2021 год-25 единиц.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A" w:rsidRPr="007305B8" w:rsidRDefault="005F41FA" w:rsidP="005F41FA">
            <w:pPr>
              <w:shd w:val="clear" w:color="auto" w:fill="FFFFFF"/>
              <w:jc w:val="both"/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</w:pPr>
            <w:r w:rsidRPr="007305B8">
              <w:rPr>
                <w:rFonts w:eastAsia="Times New Roman" w:cs="Times New Roman"/>
                <w:b/>
                <w:bCs/>
                <w:sz w:val="18"/>
                <w:szCs w:val="28"/>
                <w:shd w:val="clear" w:color="auto" w:fill="FFFFFF"/>
                <w:lang w:eastAsia="ru-RU"/>
              </w:rPr>
              <w:t>Регламентные запросы</w:t>
            </w:r>
            <w:r w:rsidRPr="007305B8">
              <w:rPr>
                <w:b/>
                <w:sz w:val="18"/>
                <w:szCs w:val="28"/>
              </w:rPr>
              <w:t xml:space="preserve"> </w:t>
            </w:r>
            <w:r w:rsidRPr="007305B8">
              <w:rPr>
                <w:sz w:val="18"/>
                <w:szCs w:val="28"/>
              </w:rPr>
              <w:t xml:space="preserve">- </w:t>
            </w:r>
            <w:r w:rsidRPr="007305B8"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  <w:t xml:space="preserve">раздел (060) </w:t>
            </w:r>
            <w:hyperlink r:id="rId11" w:history="1">
              <w:r w:rsidRPr="007305B8">
                <w:rPr>
                  <w:rFonts w:eastAsia="Times New Roman" w:cs="Times New Roman"/>
                  <w:bCs/>
                  <w:sz w:val="18"/>
                  <w:szCs w:val="28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7305B8">
              <w:rPr>
                <w:rFonts w:eastAsia="Times New Roman" w:cs="Times New Roman"/>
                <w:bCs/>
                <w:sz w:val="18"/>
                <w:szCs w:val="28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:rsidR="00D717B1" w:rsidRPr="007305B8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7305B8" w:rsidRDefault="00024E93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D717B1" w:rsidRPr="007305B8">
              <w:rPr>
                <w:rFonts w:eastAsiaTheme="minorEastAsia" w:cs="Times New Roman"/>
                <w:sz w:val="18"/>
                <w:szCs w:val="18"/>
                <w:lang w:eastAsia="ru-RU"/>
              </w:rPr>
              <w:t>жеквартально</w:t>
            </w:r>
          </w:p>
        </w:tc>
      </w:tr>
      <w:tr w:rsidR="00D4540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7305B8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7305B8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5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93" w:rsidRPr="007305B8" w:rsidRDefault="00024E93" w:rsidP="00263F2E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Показатель:</w:t>
            </w:r>
          </w:p>
          <w:p w:rsidR="00263F2E" w:rsidRPr="007305B8" w:rsidRDefault="00263F2E" w:rsidP="00263F2E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Индекс совокупной результативности реализации мероприятий, </w:t>
            </w:r>
            <w:r w:rsidRPr="007305B8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направленных на развитие конкуренции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7305B8">
              <w:rPr>
                <w:rFonts w:eastAsia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jc w:val="center"/>
              <w:rPr>
                <w:rFonts w:cs="Times New Roman"/>
                <w:sz w:val="8"/>
                <w:szCs w:val="8"/>
              </w:rPr>
            </w:pPr>
            <w:r w:rsidRPr="007305B8">
              <w:rPr>
                <w:rFonts w:cs="Times New Roman"/>
                <w:noProof/>
                <w:sz w:val="8"/>
                <w:szCs w:val="8"/>
                <w:lang w:eastAsia="ru-RU"/>
              </w:rPr>
              <w:lastRenderedPageBreak/>
              <w:drawing>
                <wp:inline distT="0" distB="0" distL="0" distR="0" wp14:anchorId="7D71014F" wp14:editId="734C2B95">
                  <wp:extent cx="806675" cy="396000"/>
                  <wp:effectExtent l="0" t="0" r="0" b="444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75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n - доля за достижение результата реализации n-го мероприятия в отчетном году;</w:t>
            </w:r>
          </w:p>
          <w:p w:rsidR="00263F2E" w:rsidRPr="007305B8" w:rsidRDefault="00263F2E" w:rsidP="00263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30E4F2" wp14:editId="0ACBEE76">
                  <wp:extent cx="351134" cy="2160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34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18"/>
                <w:szCs w:val="18"/>
              </w:rPr>
              <w:t>- количество мероприятий подпрограммы II.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2.50.03-50.04, 2.50.06, 2.52.01-2.52.02,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87D07A" wp14:editId="1155A739">
                  <wp:extent cx="888983" cy="396000"/>
                  <wp:effectExtent l="0" t="0" r="6985" b="444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8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РМфакт - фактическое значение результата n-го мероприятия;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РМплан - плановое значение результата n-го мероприятия, определенное в Программе.</w:t>
            </w: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63F2E" w:rsidRPr="007305B8" w:rsidRDefault="00263F2E" w:rsidP="00263F2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305B8">
              <w:rPr>
                <w:noProof/>
                <w:position w:val="-30"/>
                <w:lang w:eastAsia="ru-RU"/>
              </w:rPr>
              <w:drawing>
                <wp:inline distT="0" distB="0" distL="0" distR="0" wp14:anchorId="1DFCF373" wp14:editId="0C145008">
                  <wp:extent cx="877047" cy="396000"/>
                  <wp:effectExtent l="0" t="0" r="0" b="444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4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24"/>
                <w:szCs w:val="24"/>
              </w:rPr>
              <w:t>.</w:t>
            </w:r>
          </w:p>
          <w:p w:rsidR="00263F2E" w:rsidRPr="007305B8" w:rsidRDefault="00263F2E" w:rsidP="00263F2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263F2E" w:rsidRPr="007305B8" w:rsidRDefault="00263F2E" w:rsidP="00263F2E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7305B8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7305B8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7305B8">
              <w:rPr>
                <w:rFonts w:eastAsia="Times New Roman"/>
                <w:i/>
                <w:sz w:val="22"/>
                <w:lang w:eastAsia="ru-RU"/>
              </w:rPr>
              <w:lastRenderedPageBreak/>
              <w:br/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lastRenderedPageBreak/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  <w:r w:rsidR="0053606D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263F2E" w:rsidRPr="007305B8" w:rsidRDefault="00687F8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2021 год-</w:t>
            </w:r>
            <w:r w:rsidR="0053606D">
              <w:rPr>
                <w:rFonts w:eastAsiaTheme="minorEastAsia" w:cs="Times New Roman"/>
                <w:sz w:val="18"/>
                <w:szCs w:val="18"/>
                <w:lang w:eastAsia="ru-RU"/>
              </w:rPr>
              <w:t>16,71 процента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России; 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263F2E" w:rsidRPr="007305B8" w:rsidRDefault="00263F2E" w:rsidP="00263F2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7305B8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w:lastRenderedPageBreak/>
                <m:t>Чнас</m:t>
              </m:r>
            </m:oMath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отчетные года (расчетные данные территориальных органов Федеральной службы государственной статистики)</w:t>
            </w:r>
            <w:r w:rsidR="0053606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 w:rsidR="0053606D"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2021 год-302,38 единиц</w:t>
            </w:r>
          </w:p>
          <w:p w:rsidR="00263F2E" w:rsidRPr="007305B8" w:rsidRDefault="00263F2E" w:rsidP="00263F2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7305B8">
              <w:rPr>
                <w:i/>
                <w:sz w:val="18"/>
                <w:szCs w:val="18"/>
              </w:rPr>
              <w:t>субъекты малого и среднего бизнеса</w:t>
            </w:r>
            <w:r w:rsidR="0053606D">
              <w:rPr>
                <w:i/>
                <w:sz w:val="18"/>
                <w:szCs w:val="18"/>
              </w:rPr>
              <w:t xml:space="preserve">. </w:t>
            </w:r>
            <w:r w:rsidR="0053606D"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2021 год-61 единица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7305B8">
              <w:rPr>
                <w:i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7305B8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= 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  <w:r w:rsidR="0053606D"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2021 год – 0.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Комитет по управлению имуществом администрации городского округа Лотошино </w:t>
            </w:r>
          </w:p>
          <w:p w:rsidR="00263F2E" w:rsidRPr="007305B8" w:rsidRDefault="00263F2E" w:rsidP="00263F2E">
            <w:pPr>
              <w:jc w:val="both"/>
              <w:rPr>
                <w:rFonts w:cs="Times New Roman"/>
                <w:szCs w:val="2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7305B8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Pr="007305B8">
              <w:rPr>
                <w:rFonts w:cs="Times New Roman"/>
                <w:i/>
                <w:sz w:val="22"/>
              </w:rPr>
              <w:lastRenderedPageBreak/>
              <w:t>Московской области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lastRenderedPageBreak/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7305B8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= 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7305B8">
              <w:rPr>
                <w:rFonts w:eastAsia="Times New Roman"/>
                <w:sz w:val="20"/>
                <w:szCs w:val="18"/>
              </w:rPr>
              <w:t xml:space="preserve"> +Е</w:t>
            </w:r>
            <w:r w:rsidRPr="007305B8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малых площадью до 9 кв. м включительно и торговых автоматах (вендинговых автоматах).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:rsidR="00263F2E" w:rsidRPr="007305B8" w:rsidRDefault="0053606D" w:rsidP="0026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2021 год - 0.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Сектор 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торговли и 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потребительского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рынка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администрации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городского округа</w:t>
            </w:r>
          </w:p>
          <w:p w:rsidR="00263F2E" w:rsidRPr="007305B8" w:rsidRDefault="00263F2E" w:rsidP="00263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Лотошино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263F2E" w:rsidRPr="00B33AFF" w:rsidTr="00F318EE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</w:t>
            </w:r>
            <w:r w:rsidR="00B33AF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r w:rsidR="00B33AFF" w:rsidRPr="00B33AF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на территории муниципального образования  Московской области</w:t>
            </w:r>
            <w:r w:rsidRPr="007305B8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190338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sz w:val="20"/>
                <w:szCs w:val="20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кв. м/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53606D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8"/>
                  <w:szCs w:val="18"/>
                  <w:lang w:eastAsia="ru-RU"/>
                </w:rPr>
                <m:t xml:space="preserve">x 1 000 , </m:t>
              </m:r>
            </m:oMath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263F2E" w:rsidRPr="0053606D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Оторг </w:t>
            </w: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263F2E" w:rsidRPr="0053606D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Sторг </w:t>
            </w: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263F2E" w:rsidRPr="0053606D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Чсред </w:t>
            </w: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53606D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63F2E" w:rsidRPr="0053606D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  <w:p w:rsidR="0053606D" w:rsidRPr="0053606D" w:rsidRDefault="0053606D" w:rsidP="0053606D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Базовое значение показателя 2022 год- 664 </w:t>
            </w:r>
            <w:r w:rsidRPr="0053606D">
              <w:rPr>
                <w:rFonts w:eastAsiaTheme="minorEastAsia" w:cs="Times New Roman"/>
                <w:sz w:val="18"/>
                <w:szCs w:val="18"/>
                <w:lang w:eastAsia="ru-RU"/>
              </w:rPr>
              <w:t>кв. м/ на 1 000 жителей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посадочных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x 1 000 , </m:t>
              </m:r>
            </m:oMath>
            <w:r w:rsidRPr="007305B8">
              <w:rPr>
                <w:sz w:val="20"/>
                <w:szCs w:val="20"/>
              </w:rPr>
              <w:t>где: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Ооп </w:t>
            </w:r>
            <w:r w:rsidRPr="007305B8">
              <w:rPr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Кмп </w:t>
            </w:r>
            <w:r w:rsidRPr="007305B8">
              <w:rPr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Чсред </w:t>
            </w:r>
            <w:r w:rsidRPr="007305B8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</w:p>
          <w:p w:rsidR="00263F2E" w:rsidRDefault="00263F2E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Показатель считается нарастающим итогом.</w:t>
            </w:r>
          </w:p>
          <w:p w:rsidR="00683602" w:rsidRPr="007305B8" w:rsidRDefault="00683602" w:rsidP="00263F2E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2022 год -25,83</w:t>
            </w:r>
            <w:r w:rsidRPr="007305B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посадочных мест/ на 1 000 жителей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рабочих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683602" w:rsidRDefault="00263F2E" w:rsidP="00263F2E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  <w:lang w:eastAsia="ru-RU"/>
                  </w:rPr>
                  <m:t>x 1 000 ,</m:t>
                </m:r>
              </m:oMath>
            </m:oMathPara>
          </w:p>
          <w:p w:rsidR="00263F2E" w:rsidRPr="00683602" w:rsidRDefault="00263F2E" w:rsidP="00263F2E">
            <w:pPr>
              <w:widowControl w:val="0"/>
              <w:ind w:left="110" w:right="112"/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263F2E" w:rsidRPr="00683602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Обу </w:t>
            </w: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263F2E" w:rsidRPr="00683602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Крм </w:t>
            </w: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263F2E" w:rsidRPr="00683602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Чсред </w:t>
            </w: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263F2E" w:rsidRPr="00683602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683602" w:rsidRPr="00683602" w:rsidRDefault="00263F2E" w:rsidP="00683602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  <w:p w:rsidR="00683602" w:rsidRPr="00683602" w:rsidRDefault="00683602" w:rsidP="00683602">
            <w:pPr>
              <w:widowControl w:val="0"/>
              <w:ind w:left="110" w:right="112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2022 год – 7,92</w:t>
            </w:r>
            <w:r w:rsidRPr="0068360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рабочих мест/ на 1 000 жителей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63F2E" w:rsidRPr="007305B8" w:rsidTr="00F3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8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305B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Показатель: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7305B8">
              <w:rPr>
                <w:rFonts w:cs="Times New Roman"/>
                <w:i/>
                <w:sz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7305B8">
              <w:rPr>
                <w:rFonts w:eastAsia="Times New Roman"/>
                <w:sz w:val="22"/>
                <w:lang w:eastAsia="ru-RU"/>
              </w:rPr>
              <w:t>процент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Ообщий</m:t>
                  </m:r>
                </m:den>
              </m:f>
            </m:oMath>
            <w:r w:rsidRPr="007305B8">
              <w:rPr>
                <w:sz w:val="20"/>
                <w:szCs w:val="20"/>
              </w:rPr>
              <w:t xml:space="preserve">,*100%, где 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  <w:lang w:val="en-US"/>
              </w:rPr>
              <w:t>D</w:t>
            </w:r>
            <w:r w:rsidRPr="007305B8">
              <w:rPr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263F2E" w:rsidRPr="007305B8" w:rsidRDefault="00263F2E" w:rsidP="00263F2E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263F2E" w:rsidRDefault="00263F2E" w:rsidP="00263F2E">
            <w:pPr>
              <w:widowControl w:val="0"/>
              <w:ind w:left="110" w:right="11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05B8">
              <w:rPr>
                <w:rFonts w:eastAsia="Calibri"/>
                <w:sz w:val="20"/>
                <w:szCs w:val="20"/>
              </w:rPr>
              <w:t>Показатель считается нарастающим итогом.</w:t>
            </w:r>
          </w:p>
          <w:p w:rsidR="00683602" w:rsidRPr="007305B8" w:rsidRDefault="00683602" w:rsidP="00263F2E">
            <w:pPr>
              <w:widowControl w:val="0"/>
              <w:ind w:left="110" w:right="11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Базовое значение показателя 2022 год –2 процента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ind w:left="113" w:right="116"/>
              <w:contextualSpacing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63F2E" w:rsidRPr="007305B8" w:rsidRDefault="00263F2E" w:rsidP="0026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E83CCC" w:rsidRPr="007305B8" w:rsidRDefault="00E83CCC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86995" w:rsidRPr="007305B8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8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="00176428" w:rsidRPr="007305B8">
        <w:rPr>
          <w:rFonts w:cs="Times New Roman"/>
          <w:b/>
          <w:sz w:val="24"/>
          <w:szCs w:val="24"/>
        </w:rPr>
        <w:t xml:space="preserve"> </w:t>
      </w:r>
      <w:r w:rsidR="00176428" w:rsidRPr="007305B8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Pr="007305B8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559"/>
        <w:gridCol w:w="2693"/>
        <w:gridCol w:w="1418"/>
        <w:gridCol w:w="5245"/>
      </w:tblGrid>
      <w:tr w:rsidR="00D4540E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7305B8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05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30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30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4540E" w:rsidRPr="007305B8" w:rsidTr="00B90283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7305B8" w:rsidRDefault="00C86995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7305B8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7305B8">
              <w:rPr>
                <w:rFonts w:cs="Times New Roman"/>
                <w:strike/>
                <w:sz w:val="18"/>
                <w:szCs w:val="18"/>
              </w:rPr>
              <w:br/>
            </w: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промышленных предприятий,</w:t>
            </w:r>
            <w:r w:rsidRPr="007305B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730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4421" w:rsidRPr="007305B8" w:rsidRDefault="00954421" w:rsidP="00954421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954421" w:rsidRPr="007305B8" w:rsidTr="00B90283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Привлечены инвесторы на территорию городского округа Московской области (за отчетный год).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 xml:space="preserve">Значение </w:t>
            </w:r>
            <w:r w:rsidRPr="007305B8">
              <w:rPr>
                <w:rFonts w:cs="Times New Roman"/>
                <w:sz w:val="18"/>
                <w:szCs w:val="18"/>
              </w:rPr>
              <w:t>результата</w:t>
            </w:r>
            <w:r w:rsidRPr="007305B8">
              <w:rPr>
                <w:sz w:val="18"/>
                <w:szCs w:val="18"/>
              </w:rPr>
              <w:t xml:space="preserve"> определяется как сумма </w:t>
            </w:r>
            <w:r w:rsidRPr="007305B8">
              <w:rPr>
                <w:rFonts w:cs="Times New Roman"/>
                <w:sz w:val="18"/>
                <w:szCs w:val="18"/>
              </w:rPr>
              <w:t>всех новых резидентов, привлеченных на территорию</w:t>
            </w:r>
            <w:r w:rsidRPr="007305B8">
              <w:rPr>
                <w:sz w:val="18"/>
                <w:szCs w:val="18"/>
              </w:rPr>
              <w:t xml:space="preserve"> городского округа Московской области в отчетном году.</w:t>
            </w:r>
            <w:r w:rsidRPr="007305B8">
              <w:rPr>
                <w:sz w:val="18"/>
                <w:szCs w:val="18"/>
              </w:rPr>
              <w:br/>
            </w: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954421" w:rsidRPr="007305B8" w:rsidRDefault="00954421" w:rsidP="0095442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BB74EC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FECA4A" wp14:editId="0DA33CB2">
                  <wp:extent cx="1343025" cy="476250"/>
                  <wp:effectExtent l="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BB74EC" w:rsidRPr="007305B8" w:rsidRDefault="00BB74EC" w:rsidP="00BB74EC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F5A876" wp14:editId="494CA131">
                  <wp:extent cx="1371600" cy="4762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</w:t>
            </w:r>
            <w:r w:rsidRPr="007305B8">
              <w:rPr>
                <w:rFonts w:cs="Times New Roman"/>
                <w:sz w:val="18"/>
                <w:szCs w:val="18"/>
              </w:rPr>
              <w:lastRenderedPageBreak/>
              <w:t>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Достижение планового значения среднего количества участников закупок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D0A50D" wp14:editId="2E58ABCE">
                  <wp:extent cx="1524000" cy="504825"/>
                  <wp:effectExtent l="0" t="0" r="0" b="952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492E81" w:rsidRPr="007305B8" w:rsidRDefault="00D10A0D" w:rsidP="00492E81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исполнителей).Период расчета-календарный год.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614DB9" w:rsidP="00614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C3CDA3" wp14:editId="64B4AAD9">
                  <wp:extent cx="1828800" cy="504825"/>
                  <wp:effectExtent l="0" t="0" r="0" b="9525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0B2F5C" wp14:editId="02249ED0">
                  <wp:extent cx="1103128" cy="212140"/>
                  <wp:effectExtent l="0" t="0" r="190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cs="Times New Roman"/>
                <w:sz w:val="18"/>
                <w:szCs w:val="18"/>
              </w:rPr>
              <w:t>,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исполнителей), контракты, заключенные </w:t>
            </w:r>
          </w:p>
          <w:p w:rsidR="00492E81" w:rsidRPr="007305B8" w:rsidRDefault="00492E81" w:rsidP="00492E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единственным поставщиком (подрядчиком, исполнителем) в соответствии с </w:t>
            </w:r>
            <w:hyperlink r:id="rId21" w:history="1">
              <w:r w:rsidRPr="007305B8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пунктом 25 части 1 статьи 93</w:t>
              </w:r>
            </w:hyperlink>
            <w:r w:rsidRPr="007305B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Федерального закона № 44-ФЗ, за исключением закупок, осуществляемых путем проведения электронного запроса котировок».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614DB9" w:rsidP="00EB7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 xml:space="preserve">Достижение планового значения доли стоимости контрактов, заключенных с </w:t>
            </w:r>
            <w:r w:rsidRPr="007305B8">
              <w:rPr>
                <w:sz w:val="18"/>
                <w:szCs w:val="18"/>
              </w:rPr>
              <w:lastRenderedPageBreak/>
              <w:t>единственным поставщиком по несостоявшимся закупкам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ED427E" wp14:editId="161CBDB4">
                  <wp:extent cx="1752600" cy="504825"/>
                  <wp:effectExtent l="0" t="0" r="0" b="9525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lastRenderedPageBreak/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 Период расчета -календарный год</w:t>
            </w:r>
          </w:p>
        </w:tc>
      </w:tr>
      <w:tr w:rsidR="00492E81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614DB9" w:rsidP="00EB7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 xml:space="preserve">Достижение планового значения доли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7A65DBB" wp14:editId="7466C9BD">
                  <wp:extent cx="2200451" cy="54132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где: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492E81" w:rsidRPr="007305B8" w:rsidRDefault="00D10A0D" w:rsidP="00492E8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492E81" w:rsidRPr="007305B8" w:rsidRDefault="00D10A0D" w:rsidP="00492E81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492E81" w:rsidRPr="007305B8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</w:t>
            </w:r>
            <w:r w:rsidRPr="007305B8">
              <w:rPr>
                <w:rFonts w:cs="Times New Roman"/>
                <w:sz w:val="18"/>
                <w:szCs w:val="18"/>
              </w:rPr>
              <w:lastRenderedPageBreak/>
              <w:t>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 Период расчета – календарный год.</w:t>
            </w:r>
          </w:p>
          <w:p w:rsidR="00492E81" w:rsidRPr="007305B8" w:rsidRDefault="00492E81" w:rsidP="00492E8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D77E9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Достижение доли 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32DE374" wp14:editId="327BA412">
                  <wp:extent cx="1581150" cy="530856"/>
                  <wp:effectExtent l="0" t="0" r="0" b="3175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 Московской области, утвержденных постановлением администрации городского округа Лотошино от 17.11.2022 №1419  (далее – ключевых показателей развития конкуренции на товарных рынках);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значение, единиц;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sz w:val="18"/>
                <w:szCs w:val="18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области, единиц.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календарный год.</w:t>
            </w:r>
          </w:p>
        </w:tc>
      </w:tr>
      <w:tr w:rsidR="001D77E9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Сформированы материалы с анализом 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jc w:val="center"/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7305B8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календарный год.</w:t>
            </w:r>
          </w:p>
        </w:tc>
      </w:tr>
      <w:tr w:rsidR="001D77E9" w:rsidRPr="007305B8" w:rsidTr="00B902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05B8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rPr>
                <w:sz w:val="18"/>
                <w:szCs w:val="18"/>
              </w:rPr>
            </w:pPr>
            <w:r w:rsidRPr="007305B8">
              <w:rPr>
                <w:sz w:val="18"/>
                <w:szCs w:val="18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305B8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7305B8">
              <w:rPr>
                <w:sz w:val="18"/>
                <w:szCs w:val="18"/>
              </w:rPr>
              <w:t>получивших государственная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  )на территории городского округа Лотошино Московской области в отчетном периоде.</w:t>
            </w:r>
          </w:p>
          <w:p w:rsidR="001D77E9" w:rsidRPr="007305B8" w:rsidRDefault="001D77E9" w:rsidP="001D77E9">
            <w:pPr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305B8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торговых объектов предприятий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тыс. кв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Организованы и проведены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ярмарки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фактически проведенных ярмарок на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пунктов выдачи интернет-заказов и постаматов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7305B8" w:rsidTr="00687F8E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К=К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+2%*К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, где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7305B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sz w:val="20"/>
                <w:szCs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7305B8">
              <w:rPr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раб.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7305B8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2054ED" w:rsidRDefault="001D77E9" w:rsidP="001D77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1D77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7305B8" w:rsidRDefault="001D77E9" w:rsidP="001D7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1D77E9" w:rsidRPr="007305B8" w:rsidRDefault="001D77E9" w:rsidP="001D7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:rsidR="001D77E9" w:rsidRPr="007305B8" w:rsidRDefault="001D77E9" w:rsidP="001D7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5B8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1D77E9" w:rsidRPr="002054ED" w:rsidTr="00687F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2054ED" w:rsidRDefault="001D77E9" w:rsidP="001D77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2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2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E9" w:rsidRPr="00A73521" w:rsidRDefault="001D77E9" w:rsidP="001D77E9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2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Общее количество </w:t>
            </w:r>
            <w:r w:rsidRPr="00A73521">
              <w:rPr>
                <w:rFonts w:cs="Times New Roman"/>
                <w:color w:val="000000" w:themeColor="text1"/>
                <w:sz w:val="20"/>
                <w:szCs w:val="20"/>
              </w:rPr>
              <w:t>обращений, поступивших в адрес администрации муниципального образования по вопросу защиты прав потребителей на отчетную дату</w:t>
            </w:r>
          </w:p>
        </w:tc>
      </w:tr>
    </w:tbl>
    <w:p w:rsidR="003C1BBF" w:rsidRPr="007305B8" w:rsidRDefault="003C1BBF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7305B8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="008E4E55" w:rsidRPr="00730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 w:rsidRPr="007305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05B8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Pr="007305B8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2750"/>
        <w:gridCol w:w="943"/>
        <w:gridCol w:w="1196"/>
        <w:gridCol w:w="968"/>
        <w:gridCol w:w="915"/>
        <w:gridCol w:w="599"/>
        <w:gridCol w:w="628"/>
        <w:gridCol w:w="473"/>
        <w:gridCol w:w="610"/>
        <w:gridCol w:w="722"/>
        <w:gridCol w:w="983"/>
        <w:gridCol w:w="983"/>
        <w:gridCol w:w="989"/>
        <w:gridCol w:w="2132"/>
      </w:tblGrid>
      <w:tr w:rsidR="00A35642" w:rsidRPr="007305B8" w:rsidTr="00E936B9">
        <w:trPr>
          <w:trHeight w:val="315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4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302" w:type="pct"/>
            <w:vMerge w:val="restart"/>
          </w:tcPr>
          <w:p w:rsidR="004020BF" w:rsidRPr="007305B8" w:rsidRDefault="004020BF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74" w:type="pct"/>
            <w:gridSpan w:val="8"/>
            <w:shd w:val="clear" w:color="auto" w:fill="auto"/>
          </w:tcPr>
          <w:p w:rsidR="004020BF" w:rsidRPr="007305B8" w:rsidRDefault="004020BF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4020BF" w:rsidRPr="007305B8" w:rsidRDefault="004020BF" w:rsidP="00C71A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shd w:val="clear" w:color="auto" w:fill="auto"/>
            <w:noWrap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/>
            <w:shd w:val="clear" w:color="auto" w:fill="auto"/>
            <w:noWrap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936B9" w:rsidRPr="007305B8" w:rsidTr="00E936B9">
        <w:trPr>
          <w:trHeight w:val="60"/>
        </w:trPr>
        <w:tc>
          <w:tcPr>
            <w:tcW w:w="5000" w:type="pct"/>
            <w:gridSpan w:val="15"/>
          </w:tcPr>
          <w:p w:rsidR="00E936B9" w:rsidRPr="007305B8" w:rsidRDefault="00E936B9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gridSpan w:val="5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4020BF" w:rsidRPr="007305B8" w:rsidRDefault="004020BF" w:rsidP="00C71A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B239C" w:rsidRPr="007305B8" w:rsidTr="00E936B9">
        <w:trPr>
          <w:trHeight w:val="225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noWrap/>
            <w:vAlign w:val="center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vAlign w:val="center"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30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4020BF" w:rsidRPr="007305B8" w:rsidRDefault="004020BF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Создание и развитие индустриальных (промышленных) парков, промышленных площадок на 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территориях муниципальных образований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noWrap/>
            <w:hideMark/>
          </w:tcPr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4020BF" w:rsidRPr="007305B8" w:rsidRDefault="004020BF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936B9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5"/>
        </w:trPr>
        <w:tc>
          <w:tcPr>
            <w:tcW w:w="90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4020BF" w:rsidRPr="007305B8" w:rsidRDefault="004020B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020BF" w:rsidRPr="007305B8" w:rsidRDefault="004020B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4020BF" w:rsidRPr="007305B8" w:rsidRDefault="004020BF" w:rsidP="004020BF">
            <w:pPr>
              <w:rPr>
                <w:sz w:val="16"/>
              </w:rPr>
            </w:pPr>
            <w:r w:rsidRPr="007305B8">
              <w:rPr>
                <w:sz w:val="16"/>
              </w:rPr>
              <w:t>Результат мероприятия.</w:t>
            </w:r>
          </w:p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sz w:val="16"/>
                <w:szCs w:val="16"/>
              </w:rPr>
              <w:t>Количество резидентов, привлечённых на территорию индустриальных (промышленных) парков (за отчетный год), единиц.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020BF" w:rsidRPr="007305B8" w:rsidRDefault="00A35642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020BF" w:rsidRPr="007305B8" w:rsidRDefault="004020BF" w:rsidP="004020B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4020BF" w:rsidRPr="007305B8" w:rsidRDefault="004020BF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07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4020BF" w:rsidRPr="007305B8" w:rsidRDefault="005B239C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020BF" w:rsidRPr="007305B8" w:rsidRDefault="00A35642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020BF" w:rsidRPr="007305B8" w:rsidRDefault="00F95AF1" w:rsidP="004020BF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4020BF" w:rsidRPr="007305B8" w:rsidRDefault="004020BF" w:rsidP="004020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7305B8">
              <w:rPr>
                <w:sz w:val="16"/>
                <w:szCs w:val="16"/>
              </w:rPr>
              <w:t>на территории городских округов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243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7305B8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A35642" w:rsidRPr="007305B8" w:rsidRDefault="00A35642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Результат мероприятия.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Предприятия городского округа, осуществившие промышленные </w:t>
            </w: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lastRenderedPageBreak/>
              <w:t>экскурсии (за отчетный год), единиц</w:t>
            </w:r>
          </w:p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A35642" w:rsidRPr="007305B8" w:rsidRDefault="005B239C" w:rsidP="005B239C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5642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35642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60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11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406"/>
        </w:trPr>
        <w:tc>
          <w:tcPr>
            <w:tcW w:w="90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Мероприятие 08.01. 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A35642" w:rsidRPr="007305B8" w:rsidRDefault="00A35642" w:rsidP="00A3564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  <w:hideMark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993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49"/>
        </w:trPr>
        <w:tc>
          <w:tcPr>
            <w:tcW w:w="90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A35642" w:rsidRPr="007305B8" w:rsidRDefault="00A35642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19" w:type="pct"/>
            <w:vMerge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5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  <w:noWrap/>
          </w:tcPr>
          <w:p w:rsidR="00A35642" w:rsidRPr="007305B8" w:rsidRDefault="00A35642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5B239C" w:rsidRPr="007305B8" w:rsidRDefault="005B239C" w:rsidP="00A35642">
            <w:pPr>
              <w:pStyle w:val="ConsPlusNormal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Результат мероприятия. </w:t>
            </w:r>
          </w:p>
          <w:p w:rsidR="005B239C" w:rsidRPr="007305B8" w:rsidRDefault="005B239C" w:rsidP="00A356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2" w:type="pct"/>
            <w:vMerge w:val="restart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02" w:type="pct"/>
            <w:gridSpan w:val="4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5B239C" w:rsidRPr="007305B8" w:rsidRDefault="005B239C" w:rsidP="005B239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B239C" w:rsidRPr="007305B8" w:rsidTr="00E936B9">
        <w:trPr>
          <w:trHeight w:val="9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6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1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324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B239C" w:rsidRPr="007305B8" w:rsidTr="00E936B9">
        <w:trPr>
          <w:trHeight w:val="315"/>
        </w:trPr>
        <w:tc>
          <w:tcPr>
            <w:tcW w:w="90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B239C" w:rsidRPr="007305B8" w:rsidRDefault="005B239C" w:rsidP="00A356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5B239C" w:rsidRPr="007305B8" w:rsidRDefault="005B239C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B239C" w:rsidRPr="007305B8" w:rsidRDefault="00F95AF1" w:rsidP="00A3564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5B239C" w:rsidRPr="007305B8" w:rsidRDefault="005B239C" w:rsidP="00A356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9098A" w:rsidRPr="007305B8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Pr="007305B8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05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 w:rsidRPr="007305B8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подпрограммы </w:t>
      </w:r>
      <w:r w:rsidR="008E4E55" w:rsidRPr="007305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 w:rsidRPr="00730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7305B8">
        <w:rPr>
          <w:rFonts w:ascii="Times New Roman" w:hAnsi="Times New Roman" w:cs="Times New Roman"/>
          <w:b/>
          <w:sz w:val="28"/>
          <w:szCs w:val="28"/>
        </w:rPr>
        <w:t>«Развитие конкуренции»</w:t>
      </w:r>
    </w:p>
    <w:p w:rsidR="002D0F54" w:rsidRPr="007305B8" w:rsidRDefault="002D0F54" w:rsidP="002D0F54">
      <w:bookmarkStart w:id="0" w:name="P760"/>
      <w:bookmarkEnd w:id="0"/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Pr="007305B8">
        <w:rPr>
          <w:szCs w:val="28"/>
        </w:rPr>
        <w:tab/>
      </w:r>
      <w:r w:rsidR="00FA009A" w:rsidRPr="007305B8">
        <w:rPr>
          <w:szCs w:val="28"/>
        </w:rPr>
        <w:tab/>
      </w:r>
      <w:r w:rsidRPr="007305B8">
        <w:rPr>
          <w:szCs w:val="28"/>
        </w:rPr>
        <w:t xml:space="preserve"> </w:t>
      </w:r>
    </w:p>
    <w:tbl>
      <w:tblPr>
        <w:tblW w:w="152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4369"/>
        <w:gridCol w:w="1157"/>
        <w:gridCol w:w="1520"/>
        <w:gridCol w:w="583"/>
        <w:gridCol w:w="708"/>
        <w:gridCol w:w="739"/>
        <w:gridCol w:w="513"/>
        <w:gridCol w:w="473"/>
        <w:gridCol w:w="488"/>
        <w:gridCol w:w="763"/>
        <w:gridCol w:w="446"/>
        <w:gridCol w:w="550"/>
        <w:gridCol w:w="427"/>
        <w:gridCol w:w="708"/>
        <w:gridCol w:w="1545"/>
      </w:tblGrid>
      <w:tr w:rsidR="00B27442" w:rsidRPr="007305B8" w:rsidTr="003E7AC3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6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3E7AC3" w:rsidRPr="007305B8" w:rsidTr="003E7AC3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B27442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3E7AC3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 w:rsidR="003E7AC3" w:rsidRPr="007305B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3E7AC3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 w:rsidR="003E7AC3" w:rsidRPr="007305B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D6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27442" w:rsidRPr="007305B8" w:rsidRDefault="00B27442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6251D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7305B8">
              <w:rPr>
                <w:sz w:val="18"/>
                <w:szCs w:val="18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B27442" w:rsidRPr="007305B8" w:rsidTr="003E7AC3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________________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5E" w:rsidRPr="007305B8" w:rsidRDefault="0002695E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Pr="007305B8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B27442" w:rsidRPr="007305B8" w:rsidTr="003E7AC3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</w:t>
            </w:r>
            <w:r w:rsidRPr="007305B8">
              <w:rPr>
                <w:rFonts w:eastAsia="Times New Roman" w:cs="Times New Roman"/>
                <w:sz w:val="16"/>
                <w:szCs w:val="16"/>
              </w:rPr>
              <w:lastRenderedPageBreak/>
              <w:t>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0902D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DC" w:rsidRPr="007305B8" w:rsidRDefault="000902DC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C" w:rsidRPr="007305B8" w:rsidRDefault="000902DC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414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3E7AC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</w:t>
            </w:r>
          </w:p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203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7305B8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51.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C45878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 xml:space="preserve">Мероприятие 51.01. </w:t>
            </w:r>
            <w:r w:rsidRPr="007305B8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3E7AC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2025 </w:t>
            </w:r>
          </w:p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0C5DD6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="003E7AC3" w:rsidRPr="007305B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51.02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Pr="007305B8">
              <w:rPr>
                <w:sz w:val="18"/>
                <w:szCs w:val="18"/>
              </w:rPr>
              <w:t>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442" w:rsidRPr="007305B8" w:rsidRDefault="00B27442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7305B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B27442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Средства бюджета муниципального образования го Лотошино</w:t>
            </w:r>
          </w:p>
          <w:p w:rsidR="00B27442" w:rsidRPr="007305B8" w:rsidRDefault="00B27442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42" w:rsidRPr="007305B8" w:rsidRDefault="00B27442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5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305B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E7AC3" w:rsidRPr="007305B8" w:rsidTr="003E7AC3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7AC3" w:rsidRPr="007305B8" w:rsidTr="003E7AC3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C3" w:rsidRPr="007305B8" w:rsidRDefault="003E7AC3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7305B8" w:rsidRDefault="003E7AC3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305B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C3" w:rsidRPr="007305B8" w:rsidRDefault="003E7AC3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543EA" w:rsidRDefault="009543E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543EA" w:rsidRDefault="009543E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543EA" w:rsidRPr="007305B8" w:rsidRDefault="009543E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bookmarkStart w:id="1" w:name="_GoBack"/>
      <w:bookmarkEnd w:id="1"/>
    </w:p>
    <w:p w:rsidR="00E540D8" w:rsidRPr="007305B8" w:rsidRDefault="008E4E55" w:rsidP="00CD52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</w:rPr>
      </w:pPr>
      <w:r w:rsidRPr="007305B8">
        <w:rPr>
          <w:rFonts w:cs="Times New Roman"/>
          <w:b/>
          <w:szCs w:val="28"/>
        </w:rPr>
        <w:lastRenderedPageBreak/>
        <w:t xml:space="preserve">Перечень мероприятий подпрограммы </w:t>
      </w:r>
      <w:r w:rsidRPr="007305B8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Pr="007305B8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298"/>
        <w:gridCol w:w="3290"/>
        <w:gridCol w:w="944"/>
        <w:gridCol w:w="1194"/>
        <w:gridCol w:w="1137"/>
        <w:gridCol w:w="689"/>
        <w:gridCol w:w="689"/>
        <w:gridCol w:w="491"/>
        <w:gridCol w:w="488"/>
        <w:gridCol w:w="491"/>
        <w:gridCol w:w="506"/>
        <w:gridCol w:w="762"/>
        <w:gridCol w:w="707"/>
        <w:gridCol w:w="567"/>
        <w:gridCol w:w="424"/>
        <w:gridCol w:w="2200"/>
      </w:tblGrid>
      <w:tr w:rsidR="00136D8B" w:rsidRPr="007305B8" w:rsidTr="00B143CC">
        <w:trPr>
          <w:trHeight w:val="263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226" w:type="pct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pct"/>
            <w:gridSpan w:val="9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22" w:type="pct"/>
            <w:shd w:val="clear" w:color="auto" w:fill="auto"/>
            <w:hideMark/>
          </w:tcPr>
          <w:p w:rsidR="00136D8B" w:rsidRPr="007305B8" w:rsidRDefault="00136D8B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43CC" w:rsidRPr="007305B8" w:rsidTr="00B143CC">
        <w:trPr>
          <w:trHeight w:val="9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136D8B" w:rsidRPr="007305B8" w:rsidRDefault="00136D8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02695E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2695E"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136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36D8B" w:rsidRPr="007305B8" w:rsidTr="00B143CC">
        <w:trPr>
          <w:trHeight w:val="241"/>
          <w:jc w:val="center"/>
        </w:trPr>
        <w:tc>
          <w:tcPr>
            <w:tcW w:w="216" w:type="pct"/>
            <w:gridSpan w:val="2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4" w:type="pct"/>
            <w:gridSpan w:val="15"/>
            <w:shd w:val="clear" w:color="auto" w:fill="auto"/>
          </w:tcPr>
          <w:p w:rsidR="00136D8B" w:rsidRPr="007305B8" w:rsidRDefault="00136D8B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0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767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76756B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26" w:type="pct"/>
          </w:tcPr>
          <w:p w:rsidR="00136D8B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767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  <w:hideMark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30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415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60"/>
          <w:jc w:val="center"/>
        </w:trPr>
        <w:tc>
          <w:tcPr>
            <w:tcW w:w="118" w:type="pct"/>
            <w:vMerge w:val="restar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143CC" w:rsidRPr="007305B8" w:rsidRDefault="00B143CC" w:rsidP="007675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76756B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26" w:type="pct"/>
          </w:tcPr>
          <w:p w:rsidR="00B143CC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B143CC" w:rsidRPr="007305B8" w:rsidRDefault="00B143CC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  <w:hideMark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437AD4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77"/>
          <w:jc w:val="center"/>
        </w:trPr>
        <w:tc>
          <w:tcPr>
            <w:tcW w:w="118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Результат мероприятия.</w:t>
            </w:r>
          </w:p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  <w:p w:rsidR="00B143CC" w:rsidRPr="007305B8" w:rsidRDefault="00B143CC" w:rsidP="00DE742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B143CC" w:rsidRPr="007305B8" w:rsidRDefault="00B143CC" w:rsidP="004E20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143CC" w:rsidRPr="007305B8" w:rsidRDefault="00B143CC" w:rsidP="004E20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47" w:type="pct"/>
            <w:gridSpan w:val="4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</w:t>
            </w:r>
          </w:p>
        </w:tc>
        <w:tc>
          <w:tcPr>
            <w:tcW w:w="186" w:type="pct"/>
            <w:vMerge w:val="restart"/>
            <w:tcBorders>
              <w:right w:val="nil"/>
            </w:tcBorders>
            <w:shd w:val="clear" w:color="auto" w:fill="auto"/>
          </w:tcPr>
          <w:p w:rsidR="00B143CC" w:rsidRPr="007305B8" w:rsidRDefault="00B143CC" w:rsidP="00B143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</w:t>
            </w:r>
          </w:p>
        </w:tc>
        <w:tc>
          <w:tcPr>
            <w:tcW w:w="139" w:type="pct"/>
            <w:vMerge w:val="restart"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95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6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5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7305B8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50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8119D0">
        <w:trPr>
          <w:trHeight w:val="499"/>
          <w:jc w:val="center"/>
        </w:trPr>
        <w:tc>
          <w:tcPr>
            <w:tcW w:w="118" w:type="pct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B143CC" w:rsidRPr="007305B8" w:rsidRDefault="00B143CC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B143CC" w:rsidRPr="007305B8" w:rsidRDefault="00214B47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  <w:shd w:val="clear" w:color="auto" w:fill="auto"/>
          </w:tcPr>
          <w:p w:rsidR="00B143CC" w:rsidRPr="007305B8" w:rsidRDefault="00214B47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B143CC" w:rsidRPr="007305B8" w:rsidRDefault="00B143CC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B143CC" w:rsidRPr="007305B8" w:rsidRDefault="00B143CC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02.04. </w:t>
            </w:r>
          </w:p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налоговый режим «налог на профессиональный доход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Комитет по управлению 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имуществом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городского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округа</w:t>
            </w:r>
          </w:p>
          <w:p w:rsidR="00136D8B" w:rsidRPr="007305B8" w:rsidRDefault="00136D8B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7305B8">
              <w:rPr>
                <w:rFonts w:cs="Times New Roman"/>
                <w:i/>
                <w:sz w:val="18"/>
                <w:szCs w:val="16"/>
              </w:rPr>
              <w:t>Лотошино</w:t>
            </w: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02.05.</w:t>
            </w:r>
          </w:p>
          <w:p w:rsidR="00136D8B" w:rsidRPr="007305B8" w:rsidRDefault="00136D8B" w:rsidP="008A2821">
            <w:pPr>
              <w:pStyle w:val="aff0"/>
              <w:spacing w:beforeAutospacing="0" w:afterAutospacing="0" w:line="180" w:lineRule="atLeast"/>
              <w:jc w:val="both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val="ru-RU" w:eastAsia="ru-RU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(фудтрках) и передвижных сооружения (тележках), торговли в киосках малых площадью до 9 кв. м включительно и торговых автоматах (вендинговых автоматах).*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73" w:type="pct"/>
            <w:vMerge/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3" w:type="pct"/>
            <w:shd w:val="clear" w:color="auto" w:fill="auto"/>
          </w:tcPr>
          <w:p w:rsidR="00136D8B" w:rsidRPr="007305B8" w:rsidRDefault="00136D8B" w:rsidP="00214B47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  <w:r w:rsidR="00214B47">
              <w:rPr>
                <w:sz w:val="16"/>
                <w:szCs w:val="16"/>
              </w:rPr>
              <w:t>2</w:t>
            </w:r>
            <w:r w:rsidRPr="007305B8">
              <w:rPr>
                <w:sz w:val="16"/>
                <w:szCs w:val="16"/>
              </w:rPr>
              <w:t>00,00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136D8B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43CC" w:rsidRPr="007305B8" w:rsidTr="00B143CC">
        <w:trPr>
          <w:trHeight w:val="315"/>
          <w:jc w:val="center"/>
        </w:trPr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36D8B" w:rsidRPr="007305B8" w:rsidRDefault="00136D8B" w:rsidP="008A282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373" w:type="pct"/>
            <w:shd w:val="clear" w:color="auto" w:fill="auto"/>
          </w:tcPr>
          <w:p w:rsidR="00136D8B" w:rsidRPr="007305B8" w:rsidRDefault="00136D8B" w:rsidP="00214B47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</w:t>
            </w:r>
            <w:r w:rsidR="00214B47">
              <w:rPr>
                <w:sz w:val="16"/>
                <w:szCs w:val="16"/>
              </w:rPr>
              <w:t>2</w:t>
            </w:r>
            <w:r w:rsidRPr="007305B8">
              <w:rPr>
                <w:sz w:val="16"/>
                <w:szCs w:val="16"/>
              </w:rPr>
              <w:t>00,00</w:t>
            </w:r>
          </w:p>
        </w:tc>
        <w:tc>
          <w:tcPr>
            <w:tcW w:w="226" w:type="pct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8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300,00</w:t>
            </w:r>
          </w:p>
        </w:tc>
        <w:tc>
          <w:tcPr>
            <w:tcW w:w="186" w:type="pct"/>
            <w:tcBorders>
              <w:right w:val="nil"/>
            </w:tcBorders>
            <w:shd w:val="clear" w:color="auto" w:fill="auto"/>
            <w:vAlign w:val="center"/>
          </w:tcPr>
          <w:p w:rsidR="00136D8B" w:rsidRPr="007305B8" w:rsidRDefault="00136D8B" w:rsidP="00136D8B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300,0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136D8B" w:rsidRPr="007305B8" w:rsidRDefault="00136D8B" w:rsidP="008A2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auto"/>
            <w:noWrap/>
          </w:tcPr>
          <w:p w:rsidR="00136D8B" w:rsidRPr="007305B8" w:rsidRDefault="00136D8B" w:rsidP="008A282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Pr="007305B8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B33AFF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7305B8">
        <w:rPr>
          <w:rFonts w:cs="Times New Roman"/>
          <w:b/>
          <w:szCs w:val="28"/>
        </w:rPr>
        <w:t>Перечень мероприятий подпрограммы</w:t>
      </w:r>
      <w:r w:rsidRPr="007305B8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7305B8">
        <w:rPr>
          <w:rFonts w:eastAsiaTheme="minorEastAsia" w:cs="Times New Roman"/>
          <w:b/>
          <w:szCs w:val="28"/>
          <w:lang w:eastAsia="ru-RU"/>
        </w:rPr>
        <w:t xml:space="preserve">IV «Развитие потребительского рынка и </w:t>
      </w:r>
      <w:r w:rsidRPr="00B33AFF">
        <w:rPr>
          <w:rFonts w:eastAsiaTheme="minorEastAsia" w:cs="Times New Roman"/>
          <w:b/>
          <w:szCs w:val="28"/>
          <w:lang w:eastAsia="ru-RU"/>
        </w:rPr>
        <w:t>услуг</w:t>
      </w:r>
      <w:r w:rsidR="00B33AFF" w:rsidRPr="00B33AFF">
        <w:rPr>
          <w:rFonts w:eastAsiaTheme="minorEastAsia" w:cs="Times New Roman"/>
          <w:b/>
          <w:szCs w:val="28"/>
          <w:lang w:eastAsia="ru-RU"/>
        </w:rPr>
        <w:t xml:space="preserve"> на территории муниципального образования  Московской области</w:t>
      </w:r>
      <w:r w:rsidRPr="00B33AFF">
        <w:rPr>
          <w:rFonts w:eastAsiaTheme="minorEastAsia" w:cs="Times New Roman"/>
          <w:b/>
          <w:szCs w:val="28"/>
          <w:lang w:eastAsia="ru-RU"/>
        </w:rPr>
        <w:t>»</w:t>
      </w:r>
    </w:p>
    <w:p w:rsidR="005A7711" w:rsidRPr="007305B8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3723"/>
        <w:gridCol w:w="703"/>
        <w:gridCol w:w="1271"/>
        <w:gridCol w:w="904"/>
        <w:gridCol w:w="710"/>
        <w:gridCol w:w="694"/>
        <w:gridCol w:w="704"/>
        <w:gridCol w:w="870"/>
        <w:gridCol w:w="707"/>
        <w:gridCol w:w="713"/>
        <w:gridCol w:w="707"/>
        <w:gridCol w:w="707"/>
        <w:gridCol w:w="773"/>
        <w:gridCol w:w="1638"/>
      </w:tblGrid>
      <w:tr w:rsidR="009A51D9" w:rsidRPr="007305B8" w:rsidTr="00437AD4">
        <w:trPr>
          <w:trHeight w:val="263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7305B8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37" w:type="pct"/>
            <w:gridSpan w:val="8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0" w:type="pct"/>
            <w:shd w:val="clear" w:color="auto" w:fill="auto"/>
            <w:hideMark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F7239A" w:rsidRPr="007305B8" w:rsidTr="00437AD4">
        <w:trPr>
          <w:trHeight w:val="9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shd w:val="clear" w:color="auto" w:fill="auto"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7305B8" w:rsidTr="00803B8C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7305B8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0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9837E5" w:rsidRPr="007305B8" w:rsidRDefault="009837E5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0305B" w:rsidRDefault="00D10A0D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90</w:t>
            </w:r>
            <w:r w:rsidR="009837E5" w:rsidRPr="0070305B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0305B" w:rsidRDefault="00333131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0300C0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D10A0D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</w:t>
            </w:r>
            <w:r w:rsidR="009837E5" w:rsidRPr="0070305B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9837E5" w:rsidRPr="007305B8" w:rsidRDefault="009837E5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630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415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70305B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9837E5" w:rsidRPr="0070305B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D10A0D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</w:t>
            </w:r>
            <w:r w:rsidR="009837E5" w:rsidRPr="0070305B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F73B1D">
        <w:trPr>
          <w:trHeight w:val="60"/>
        </w:trPr>
        <w:tc>
          <w:tcPr>
            <w:tcW w:w="112" w:type="pct"/>
            <w:vMerge w:val="restart"/>
            <w:shd w:val="clear" w:color="auto" w:fill="auto"/>
            <w:hideMark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28" w:type="pct"/>
            <w:vMerge w:val="restart"/>
            <w:shd w:val="clear" w:color="auto" w:fill="auto"/>
            <w:hideMark/>
          </w:tcPr>
          <w:p w:rsidR="009837E5" w:rsidRPr="007305B8" w:rsidRDefault="009837E5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01.01</w:t>
            </w:r>
          </w:p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  <w:hideMark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0305B" w:rsidRDefault="009837E5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0305B" w:rsidRDefault="00333131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9837E5" w:rsidRPr="007305B8" w:rsidRDefault="009837E5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377"/>
        </w:trPr>
        <w:tc>
          <w:tcPr>
            <w:tcW w:w="112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5"/>
            <w:shd w:val="clear" w:color="auto" w:fill="auto"/>
          </w:tcPr>
          <w:p w:rsidR="009837E5" w:rsidRPr="0070305B" w:rsidRDefault="009837E5" w:rsidP="003331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55" w:type="pc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A1206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9837E5" w:rsidRPr="007305B8" w:rsidRDefault="009837E5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837E5" w:rsidRPr="0070305B" w:rsidRDefault="00437AD4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9837E5" w:rsidRPr="0070305B" w:rsidRDefault="009837E5" w:rsidP="008150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9837E5" w:rsidRPr="0070305B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9837E5" w:rsidRPr="007305B8" w:rsidRDefault="009837E5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7239A" w:rsidRPr="007305B8" w:rsidTr="00437AD4">
        <w:trPr>
          <w:trHeight w:val="95"/>
        </w:trPr>
        <w:tc>
          <w:tcPr>
            <w:tcW w:w="112" w:type="pct"/>
            <w:vMerge/>
            <w:shd w:val="clear" w:color="auto" w:fill="auto"/>
          </w:tcPr>
          <w:p w:rsidR="009837E5" w:rsidRPr="007305B8" w:rsidRDefault="009837E5" w:rsidP="009837E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9837E5" w:rsidRPr="007305B8" w:rsidRDefault="009837E5" w:rsidP="009837E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9837E5" w:rsidRPr="0070305B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 xml:space="preserve">1 </w:t>
            </w:r>
            <w:r w:rsidR="00803B8C" w:rsidRPr="0070305B">
              <w:rPr>
                <w:rFonts w:eastAsia="Times New Roman"/>
                <w:sz w:val="16"/>
                <w:szCs w:val="16"/>
              </w:rPr>
              <w:br/>
            </w:r>
            <w:r w:rsidRPr="0070305B">
              <w:rPr>
                <w:rFonts w:eastAsia="Times New Roman"/>
                <w:sz w:val="16"/>
                <w:szCs w:val="16"/>
              </w:rPr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9837E5" w:rsidRPr="0070305B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837E5" w:rsidRPr="0070305B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837E5" w:rsidRPr="0070305B" w:rsidRDefault="009837E5" w:rsidP="0098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9837E5" w:rsidRPr="0070305B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9837E5" w:rsidRPr="007305B8" w:rsidRDefault="009837E5" w:rsidP="00983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7239A" w:rsidRPr="007305B8" w:rsidTr="00437AD4">
        <w:tc>
          <w:tcPr>
            <w:tcW w:w="112" w:type="pct"/>
            <w:vMerge/>
            <w:shd w:val="clear" w:color="auto" w:fill="auto"/>
          </w:tcPr>
          <w:p w:rsidR="00837CD8" w:rsidRPr="007305B8" w:rsidRDefault="00837CD8" w:rsidP="00837CD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837CD8" w:rsidRPr="007305B8" w:rsidRDefault="00837CD8" w:rsidP="00837CD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837CD8" w:rsidRPr="0070305B" w:rsidRDefault="00837CD8" w:rsidP="00E816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14,</w:t>
            </w:r>
            <w:r w:rsidR="00E81648" w:rsidRPr="0070305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37CD8" w:rsidRPr="0070305B" w:rsidRDefault="00837CD8" w:rsidP="003F7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14,</w:t>
            </w:r>
            <w:r w:rsidR="003F79CE" w:rsidRPr="0070305B">
              <w:rPr>
                <w:sz w:val="16"/>
                <w:szCs w:val="16"/>
              </w:rPr>
              <w:t>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14,6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14,7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37CD8" w:rsidRPr="0070305B" w:rsidRDefault="00837CD8" w:rsidP="003F7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14,</w:t>
            </w:r>
            <w:r w:rsidR="003F79CE" w:rsidRPr="0070305B">
              <w:rPr>
                <w:sz w:val="16"/>
                <w:szCs w:val="16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15,1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37CD8" w:rsidRPr="0070305B" w:rsidRDefault="00837CD8" w:rsidP="00837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15,3</w:t>
            </w:r>
          </w:p>
        </w:tc>
        <w:tc>
          <w:tcPr>
            <w:tcW w:w="540" w:type="pct"/>
            <w:shd w:val="clear" w:color="auto" w:fill="auto"/>
            <w:noWrap/>
          </w:tcPr>
          <w:p w:rsidR="00837CD8" w:rsidRPr="007305B8" w:rsidRDefault="00837CD8" w:rsidP="00837C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7239A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8" w:type="pct"/>
            <w:shd w:val="clear" w:color="auto" w:fill="auto"/>
          </w:tcPr>
          <w:p w:rsidR="0005731C" w:rsidRPr="007305B8" w:rsidRDefault="0005731C" w:rsidP="000573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01.02</w:t>
            </w:r>
          </w:p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05731C" w:rsidRPr="007305B8" w:rsidRDefault="0005731C" w:rsidP="000573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05731C" w:rsidRPr="0070305B" w:rsidRDefault="0005731C" w:rsidP="0005731C">
            <w:pPr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70305B">
              <w:rPr>
                <w:sz w:val="18"/>
                <w:szCs w:val="18"/>
              </w:rPr>
              <w:t xml:space="preserve"> </w:t>
            </w:r>
            <w:r w:rsidRPr="0070305B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05731C" w:rsidRPr="007305B8" w:rsidRDefault="0005731C" w:rsidP="0005731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21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Организованы и проведены ярмарки,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437AD4" w:rsidRPr="007305B8" w:rsidTr="00437AD4">
        <w:trPr>
          <w:trHeight w:val="227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37AD4" w:rsidRPr="0070305B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 xml:space="preserve">1 </w:t>
            </w:r>
            <w:r w:rsidRPr="0070305B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437AD4" w:rsidRPr="0070305B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0305B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0305B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305B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56"/>
        </w:trPr>
        <w:tc>
          <w:tcPr>
            <w:tcW w:w="11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01.04 </w:t>
            </w: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7305B8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0305B" w:rsidRDefault="00D10A0D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100</w:t>
            </w:r>
            <w:r w:rsidR="000300C0" w:rsidRPr="0070305B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0,0</w:t>
            </w:r>
          </w:p>
        </w:tc>
        <w:tc>
          <w:tcPr>
            <w:tcW w:w="1216" w:type="pct"/>
            <w:gridSpan w:val="5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500,0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500,0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0,0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  <w:r w:rsidRPr="0070305B">
              <w:rPr>
                <w:sz w:val="16"/>
                <w:szCs w:val="16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73B1D" w:rsidRPr="00F73B1D" w:rsidRDefault="00F73B1D" w:rsidP="00F73B1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1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pct"/>
            <w:gridSpan w:val="5"/>
            <w:vMerge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437AD4" w:rsidRPr="0070305B" w:rsidRDefault="00437AD4" w:rsidP="00437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437AD4" w:rsidRPr="007305B8" w:rsidTr="00437AD4">
        <w:trPr>
          <w:trHeight w:val="215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730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437AD4" w:rsidRPr="0070305B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305B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37AD4" w:rsidRPr="007305B8" w:rsidTr="00437AD4">
        <w:trPr>
          <w:trHeight w:val="233"/>
        </w:trPr>
        <w:tc>
          <w:tcPr>
            <w:tcW w:w="112" w:type="pct"/>
            <w:vMerge/>
            <w:shd w:val="clear" w:color="auto" w:fill="auto"/>
          </w:tcPr>
          <w:p w:rsidR="00437AD4" w:rsidRPr="007305B8" w:rsidRDefault="00437AD4" w:rsidP="00437AD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437AD4" w:rsidRPr="007305B8" w:rsidRDefault="00437AD4" w:rsidP="00437A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D4" w:rsidRPr="007305B8" w:rsidRDefault="00437AD4" w:rsidP="00437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437AD4" w:rsidRPr="007305B8" w:rsidRDefault="00437AD4" w:rsidP="00437A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179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0300C0" w:rsidRDefault="00F0177D" w:rsidP="00F0177D">
            <w:pPr>
              <w:jc w:val="center"/>
              <w:rPr>
                <w:sz w:val="16"/>
                <w:szCs w:val="16"/>
              </w:rPr>
            </w:pPr>
            <w:r w:rsidRPr="000300C0">
              <w:rPr>
                <w:sz w:val="16"/>
                <w:szCs w:val="16"/>
              </w:rPr>
              <w:t>19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01.05.</w:t>
            </w:r>
          </w:p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17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19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81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01.06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09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183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</w:r>
            <w:r w:rsidRPr="007305B8">
              <w:rPr>
                <w:rFonts w:eastAsia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lastRenderedPageBreak/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lastRenderedPageBreak/>
              <w:t xml:space="preserve">9 </w:t>
            </w:r>
            <w:r w:rsidRPr="007305B8">
              <w:rPr>
                <w:rFonts w:eastAsia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lastRenderedPageBreak/>
              <w:t xml:space="preserve">12 </w:t>
            </w:r>
            <w:r w:rsidRPr="007305B8">
              <w:rPr>
                <w:rFonts w:eastAsia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Мероприятие 01.07.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89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279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01.08. </w:t>
            </w:r>
          </w:p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4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277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51</w:t>
            </w:r>
            <w:r w:rsidRPr="007305B8">
              <w:rPr>
                <w:sz w:val="16"/>
                <w:szCs w:val="16"/>
              </w:rPr>
              <w:t xml:space="preserve">  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51.01  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293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37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52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lastRenderedPageBreak/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52.01  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98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234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57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185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190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195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52.02  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25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305B8">
              <w:rPr>
                <w:b/>
                <w:sz w:val="16"/>
                <w:szCs w:val="16"/>
              </w:rPr>
              <w:t>Основное мероприятие 53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7305B8">
              <w:rPr>
                <w:sz w:val="18"/>
                <w:szCs w:val="18"/>
              </w:rPr>
              <w:t xml:space="preserve"> </w:t>
            </w:r>
            <w:r w:rsidRPr="007305B8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8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 xml:space="preserve">Мероприятие 53.01 </w:t>
            </w:r>
          </w:p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469" w:type="pct"/>
            <w:gridSpan w:val="10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В пределах средств на обеспечение деятельности администрации городского округа Лотошино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Администрация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 Лотошино (сектор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0177D" w:rsidRPr="00F73B1D" w:rsidRDefault="00F0177D" w:rsidP="00F0177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F73B1D">
              <w:rPr>
                <w:rFonts w:cs="Times New Roman"/>
                <w:i/>
                <w:sz w:val="18"/>
                <w:szCs w:val="16"/>
              </w:rPr>
              <w:t>рынка)</w:t>
            </w:r>
          </w:p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31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87" w:type="pct"/>
            <w:gridSpan w:val="4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40" w:type="pct"/>
            <w:vMerge w:val="restar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7305B8" w:rsidTr="00437AD4">
        <w:trPr>
          <w:trHeight w:val="293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 xml:space="preserve">1 </w:t>
            </w:r>
            <w:r w:rsidRPr="007305B8">
              <w:rPr>
                <w:rFonts w:eastAsia="Times New Roman"/>
                <w:sz w:val="16"/>
                <w:szCs w:val="16"/>
              </w:rPr>
              <w:br/>
              <w:t>квартал</w:t>
            </w:r>
          </w:p>
        </w:tc>
        <w:tc>
          <w:tcPr>
            <w:tcW w:w="287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269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sz w:val="16"/>
                <w:szCs w:val="16"/>
              </w:rPr>
            </w:pPr>
            <w:r w:rsidRPr="007305B8">
              <w:rPr>
                <w:sz w:val="16"/>
                <w:szCs w:val="16"/>
              </w:rPr>
              <w:t>2</w:t>
            </w:r>
          </w:p>
        </w:tc>
        <w:tc>
          <w:tcPr>
            <w:tcW w:w="540" w:type="pct"/>
            <w:vMerge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177D" w:rsidRPr="007305B8" w:rsidTr="00437AD4">
        <w:trPr>
          <w:trHeight w:val="135"/>
        </w:trPr>
        <w:tc>
          <w:tcPr>
            <w:tcW w:w="112" w:type="pct"/>
            <w:vMerge w:val="restar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 w:val="restart"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305B8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7305B8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12000,00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29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3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55" w:type="pct"/>
            <w:shd w:val="clear" w:color="auto" w:fill="auto"/>
          </w:tcPr>
          <w:p w:rsidR="00F0177D" w:rsidRPr="007305B8" w:rsidRDefault="00F0177D" w:rsidP="00F0177D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7305B8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77D" w:rsidRPr="00D4540E" w:rsidTr="00437AD4">
        <w:trPr>
          <w:trHeight w:val="135"/>
        </w:trPr>
        <w:tc>
          <w:tcPr>
            <w:tcW w:w="112" w:type="pct"/>
            <w:vMerge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vMerge/>
            <w:shd w:val="clear" w:color="auto" w:fill="auto"/>
          </w:tcPr>
          <w:p w:rsidR="00F0177D" w:rsidRPr="007305B8" w:rsidRDefault="00F0177D" w:rsidP="00F017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</w:tcPr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F0177D" w:rsidRPr="007305B8" w:rsidRDefault="00F0177D" w:rsidP="00F0177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5B8">
              <w:rPr>
                <w:color w:val="000000" w:themeColor="text1"/>
                <w:sz w:val="16"/>
                <w:szCs w:val="16"/>
              </w:rPr>
              <w:t>12000,00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F0177D" w:rsidRPr="007305B8" w:rsidRDefault="00F0177D" w:rsidP="00F01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F0177D" w:rsidRPr="007305B8" w:rsidRDefault="00F0177D" w:rsidP="00F0177D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177D" w:rsidRPr="00D4540E" w:rsidRDefault="00F0177D" w:rsidP="00F0177D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05B8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540" w:type="pct"/>
            <w:shd w:val="clear" w:color="auto" w:fill="auto"/>
            <w:noWrap/>
          </w:tcPr>
          <w:p w:rsidR="00F0177D" w:rsidRPr="00D4540E" w:rsidRDefault="00F0177D" w:rsidP="00F0177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D4540E" w:rsidRDefault="00DC5B09" w:rsidP="00C05FDB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D4540E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4A" w:rsidRPr="00BE29A2" w:rsidRDefault="00407F4A" w:rsidP="00BE29A2">
      <w:r>
        <w:separator/>
      </w:r>
    </w:p>
  </w:endnote>
  <w:endnote w:type="continuationSeparator" w:id="0">
    <w:p w:rsidR="00407F4A" w:rsidRPr="00BE29A2" w:rsidRDefault="00407F4A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4A" w:rsidRPr="00BE29A2" w:rsidRDefault="00407F4A" w:rsidP="00BE29A2">
      <w:r>
        <w:separator/>
      </w:r>
    </w:p>
  </w:footnote>
  <w:footnote w:type="continuationSeparator" w:id="0">
    <w:p w:rsidR="00407F4A" w:rsidRPr="00BE29A2" w:rsidRDefault="00407F4A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044"/>
    <w:rsid w:val="000153D6"/>
    <w:rsid w:val="00015555"/>
    <w:rsid w:val="00016566"/>
    <w:rsid w:val="00016B14"/>
    <w:rsid w:val="00024E93"/>
    <w:rsid w:val="0002695E"/>
    <w:rsid w:val="00027919"/>
    <w:rsid w:val="000300C0"/>
    <w:rsid w:val="00030656"/>
    <w:rsid w:val="00032A3A"/>
    <w:rsid w:val="00034F6F"/>
    <w:rsid w:val="0005731C"/>
    <w:rsid w:val="00061F95"/>
    <w:rsid w:val="00082598"/>
    <w:rsid w:val="000825A8"/>
    <w:rsid w:val="000902DC"/>
    <w:rsid w:val="00090A5A"/>
    <w:rsid w:val="00092F80"/>
    <w:rsid w:val="00093027"/>
    <w:rsid w:val="00093960"/>
    <w:rsid w:val="00094471"/>
    <w:rsid w:val="000A0521"/>
    <w:rsid w:val="000A436A"/>
    <w:rsid w:val="000A5A26"/>
    <w:rsid w:val="000A7FD2"/>
    <w:rsid w:val="000B334F"/>
    <w:rsid w:val="000B35E1"/>
    <w:rsid w:val="000B37D6"/>
    <w:rsid w:val="000B67EB"/>
    <w:rsid w:val="000C1B76"/>
    <w:rsid w:val="000C1EF6"/>
    <w:rsid w:val="000C3550"/>
    <w:rsid w:val="000C5315"/>
    <w:rsid w:val="000C5DD6"/>
    <w:rsid w:val="000C5E26"/>
    <w:rsid w:val="000D1AF7"/>
    <w:rsid w:val="000D468F"/>
    <w:rsid w:val="000F0780"/>
    <w:rsid w:val="000F0AAC"/>
    <w:rsid w:val="000F0AEC"/>
    <w:rsid w:val="000F7982"/>
    <w:rsid w:val="001012AD"/>
    <w:rsid w:val="00105695"/>
    <w:rsid w:val="0010780A"/>
    <w:rsid w:val="00112A08"/>
    <w:rsid w:val="00113BB4"/>
    <w:rsid w:val="0011533E"/>
    <w:rsid w:val="001203E9"/>
    <w:rsid w:val="001206AF"/>
    <w:rsid w:val="00120B4C"/>
    <w:rsid w:val="0012490F"/>
    <w:rsid w:val="001321ED"/>
    <w:rsid w:val="00136D8B"/>
    <w:rsid w:val="001379E4"/>
    <w:rsid w:val="00137ABB"/>
    <w:rsid w:val="00137B0C"/>
    <w:rsid w:val="00154A36"/>
    <w:rsid w:val="00155AF6"/>
    <w:rsid w:val="001741F2"/>
    <w:rsid w:val="00176428"/>
    <w:rsid w:val="00190338"/>
    <w:rsid w:val="00193E9B"/>
    <w:rsid w:val="00194464"/>
    <w:rsid w:val="001C3D6F"/>
    <w:rsid w:val="001C6E02"/>
    <w:rsid w:val="001C7B20"/>
    <w:rsid w:val="001D2E88"/>
    <w:rsid w:val="001D77E9"/>
    <w:rsid w:val="001E4811"/>
    <w:rsid w:val="001E7AAD"/>
    <w:rsid w:val="001F02DE"/>
    <w:rsid w:val="001F06BE"/>
    <w:rsid w:val="001F0CDA"/>
    <w:rsid w:val="001F73FF"/>
    <w:rsid w:val="002054ED"/>
    <w:rsid w:val="002055BE"/>
    <w:rsid w:val="0021179B"/>
    <w:rsid w:val="00211B7C"/>
    <w:rsid w:val="00214B47"/>
    <w:rsid w:val="002152B6"/>
    <w:rsid w:val="00215459"/>
    <w:rsid w:val="0021676D"/>
    <w:rsid w:val="00217176"/>
    <w:rsid w:val="002217D4"/>
    <w:rsid w:val="00222281"/>
    <w:rsid w:val="002230E9"/>
    <w:rsid w:val="00227512"/>
    <w:rsid w:val="00231711"/>
    <w:rsid w:val="002375A2"/>
    <w:rsid w:val="00252813"/>
    <w:rsid w:val="0025679D"/>
    <w:rsid w:val="00263F2E"/>
    <w:rsid w:val="0027410D"/>
    <w:rsid w:val="002753D8"/>
    <w:rsid w:val="00275767"/>
    <w:rsid w:val="00276330"/>
    <w:rsid w:val="002768B7"/>
    <w:rsid w:val="0028243C"/>
    <w:rsid w:val="002840AB"/>
    <w:rsid w:val="00286F11"/>
    <w:rsid w:val="00287692"/>
    <w:rsid w:val="00294BC7"/>
    <w:rsid w:val="00296C60"/>
    <w:rsid w:val="002B1C57"/>
    <w:rsid w:val="002B4E0F"/>
    <w:rsid w:val="002C4500"/>
    <w:rsid w:val="002C4A9E"/>
    <w:rsid w:val="002C4FDF"/>
    <w:rsid w:val="002D0F54"/>
    <w:rsid w:val="002D4E12"/>
    <w:rsid w:val="002E6DA5"/>
    <w:rsid w:val="002F363A"/>
    <w:rsid w:val="003009AD"/>
    <w:rsid w:val="00304AF8"/>
    <w:rsid w:val="0030595F"/>
    <w:rsid w:val="0031127C"/>
    <w:rsid w:val="003136BA"/>
    <w:rsid w:val="00323FED"/>
    <w:rsid w:val="00324AC3"/>
    <w:rsid w:val="003252DF"/>
    <w:rsid w:val="00332A8F"/>
    <w:rsid w:val="00333131"/>
    <w:rsid w:val="0033321E"/>
    <w:rsid w:val="00341A1D"/>
    <w:rsid w:val="0034690B"/>
    <w:rsid w:val="003504BB"/>
    <w:rsid w:val="00355964"/>
    <w:rsid w:val="00357BF3"/>
    <w:rsid w:val="0036184D"/>
    <w:rsid w:val="00363B1B"/>
    <w:rsid w:val="00370F69"/>
    <w:rsid w:val="0038257C"/>
    <w:rsid w:val="003917E8"/>
    <w:rsid w:val="003A452F"/>
    <w:rsid w:val="003B1C90"/>
    <w:rsid w:val="003B2CC1"/>
    <w:rsid w:val="003B4016"/>
    <w:rsid w:val="003B4E39"/>
    <w:rsid w:val="003B552B"/>
    <w:rsid w:val="003C175E"/>
    <w:rsid w:val="003C1BBF"/>
    <w:rsid w:val="003C3A06"/>
    <w:rsid w:val="003C3E57"/>
    <w:rsid w:val="003C734C"/>
    <w:rsid w:val="003E7AC3"/>
    <w:rsid w:val="003F3F02"/>
    <w:rsid w:val="003F645E"/>
    <w:rsid w:val="003F79CE"/>
    <w:rsid w:val="004020BF"/>
    <w:rsid w:val="00402EBC"/>
    <w:rsid w:val="00407F4A"/>
    <w:rsid w:val="00424FE7"/>
    <w:rsid w:val="00427DBC"/>
    <w:rsid w:val="004353BA"/>
    <w:rsid w:val="00437AD4"/>
    <w:rsid w:val="00446E1C"/>
    <w:rsid w:val="0044762A"/>
    <w:rsid w:val="0045114F"/>
    <w:rsid w:val="004536E9"/>
    <w:rsid w:val="00454BC4"/>
    <w:rsid w:val="00457B2F"/>
    <w:rsid w:val="0047023C"/>
    <w:rsid w:val="0047432A"/>
    <w:rsid w:val="00475B7C"/>
    <w:rsid w:val="0048069D"/>
    <w:rsid w:val="0048243A"/>
    <w:rsid w:val="00484113"/>
    <w:rsid w:val="0048598E"/>
    <w:rsid w:val="00491CEE"/>
    <w:rsid w:val="00492E81"/>
    <w:rsid w:val="00496273"/>
    <w:rsid w:val="004A3DA2"/>
    <w:rsid w:val="004A4F0D"/>
    <w:rsid w:val="004B248D"/>
    <w:rsid w:val="004B2B6F"/>
    <w:rsid w:val="004C0A3B"/>
    <w:rsid w:val="004C29DF"/>
    <w:rsid w:val="004C70CB"/>
    <w:rsid w:val="004D4A5F"/>
    <w:rsid w:val="004D6DD5"/>
    <w:rsid w:val="004D791C"/>
    <w:rsid w:val="004D7BAB"/>
    <w:rsid w:val="004E2098"/>
    <w:rsid w:val="004E374D"/>
    <w:rsid w:val="004E3F41"/>
    <w:rsid w:val="004F5F99"/>
    <w:rsid w:val="00513278"/>
    <w:rsid w:val="00516305"/>
    <w:rsid w:val="00520B21"/>
    <w:rsid w:val="00523B10"/>
    <w:rsid w:val="0053239C"/>
    <w:rsid w:val="005324F4"/>
    <w:rsid w:val="0053606D"/>
    <w:rsid w:val="00543755"/>
    <w:rsid w:val="005444FE"/>
    <w:rsid w:val="0055174A"/>
    <w:rsid w:val="005532FF"/>
    <w:rsid w:val="00554371"/>
    <w:rsid w:val="005635F6"/>
    <w:rsid w:val="00570CAA"/>
    <w:rsid w:val="005725B2"/>
    <w:rsid w:val="00572849"/>
    <w:rsid w:val="005731A3"/>
    <w:rsid w:val="00573B52"/>
    <w:rsid w:val="00577864"/>
    <w:rsid w:val="005844DC"/>
    <w:rsid w:val="005875DE"/>
    <w:rsid w:val="00590381"/>
    <w:rsid w:val="00594CD0"/>
    <w:rsid w:val="005979F6"/>
    <w:rsid w:val="005A0D4C"/>
    <w:rsid w:val="005A6543"/>
    <w:rsid w:val="005A7711"/>
    <w:rsid w:val="005A7770"/>
    <w:rsid w:val="005A7FC1"/>
    <w:rsid w:val="005B239C"/>
    <w:rsid w:val="005C0243"/>
    <w:rsid w:val="005C2A08"/>
    <w:rsid w:val="005D1052"/>
    <w:rsid w:val="005D3699"/>
    <w:rsid w:val="005E0CD0"/>
    <w:rsid w:val="005E0F49"/>
    <w:rsid w:val="005F41FA"/>
    <w:rsid w:val="00603F99"/>
    <w:rsid w:val="00606D3C"/>
    <w:rsid w:val="00611D51"/>
    <w:rsid w:val="00612627"/>
    <w:rsid w:val="00614DB9"/>
    <w:rsid w:val="00615F24"/>
    <w:rsid w:val="006251DF"/>
    <w:rsid w:val="00626E21"/>
    <w:rsid w:val="00636DA5"/>
    <w:rsid w:val="00645DFA"/>
    <w:rsid w:val="00652AA1"/>
    <w:rsid w:val="00653036"/>
    <w:rsid w:val="00657102"/>
    <w:rsid w:val="00661655"/>
    <w:rsid w:val="00671815"/>
    <w:rsid w:val="00683602"/>
    <w:rsid w:val="00684179"/>
    <w:rsid w:val="006859A3"/>
    <w:rsid w:val="00687F8E"/>
    <w:rsid w:val="00693C26"/>
    <w:rsid w:val="006A2E00"/>
    <w:rsid w:val="006B41F8"/>
    <w:rsid w:val="006C085C"/>
    <w:rsid w:val="006C3C01"/>
    <w:rsid w:val="006C4679"/>
    <w:rsid w:val="006C6640"/>
    <w:rsid w:val="006C6784"/>
    <w:rsid w:val="006D4F4B"/>
    <w:rsid w:val="006E2E07"/>
    <w:rsid w:val="006F100C"/>
    <w:rsid w:val="006F6147"/>
    <w:rsid w:val="0070305B"/>
    <w:rsid w:val="00705777"/>
    <w:rsid w:val="00707132"/>
    <w:rsid w:val="0071211C"/>
    <w:rsid w:val="007141A0"/>
    <w:rsid w:val="0071644F"/>
    <w:rsid w:val="00720D67"/>
    <w:rsid w:val="00730596"/>
    <w:rsid w:val="007305B8"/>
    <w:rsid w:val="007523D8"/>
    <w:rsid w:val="00752E4B"/>
    <w:rsid w:val="00754DA4"/>
    <w:rsid w:val="007551F2"/>
    <w:rsid w:val="0076756B"/>
    <w:rsid w:val="00771229"/>
    <w:rsid w:val="007838B1"/>
    <w:rsid w:val="00791C1E"/>
    <w:rsid w:val="007925A0"/>
    <w:rsid w:val="00794995"/>
    <w:rsid w:val="00794C9B"/>
    <w:rsid w:val="007A2845"/>
    <w:rsid w:val="007A5F0D"/>
    <w:rsid w:val="007B56E5"/>
    <w:rsid w:val="007C097F"/>
    <w:rsid w:val="007C7093"/>
    <w:rsid w:val="007D2F49"/>
    <w:rsid w:val="007D5D41"/>
    <w:rsid w:val="007D6FDF"/>
    <w:rsid w:val="007F3258"/>
    <w:rsid w:val="007F4F2B"/>
    <w:rsid w:val="00803B8C"/>
    <w:rsid w:val="008119D0"/>
    <w:rsid w:val="00814E5B"/>
    <w:rsid w:val="00814E84"/>
    <w:rsid w:val="00815055"/>
    <w:rsid w:val="00815F4C"/>
    <w:rsid w:val="00830A19"/>
    <w:rsid w:val="00837CD8"/>
    <w:rsid w:val="008424D3"/>
    <w:rsid w:val="0084668A"/>
    <w:rsid w:val="008469E0"/>
    <w:rsid w:val="008475A2"/>
    <w:rsid w:val="00850EBF"/>
    <w:rsid w:val="00862FD0"/>
    <w:rsid w:val="00864A2F"/>
    <w:rsid w:val="0086781A"/>
    <w:rsid w:val="00872181"/>
    <w:rsid w:val="00872E01"/>
    <w:rsid w:val="00873358"/>
    <w:rsid w:val="00883630"/>
    <w:rsid w:val="00887307"/>
    <w:rsid w:val="008926B1"/>
    <w:rsid w:val="008A2821"/>
    <w:rsid w:val="008A3849"/>
    <w:rsid w:val="008B5517"/>
    <w:rsid w:val="008B5A8F"/>
    <w:rsid w:val="008B7ECC"/>
    <w:rsid w:val="008C0AA3"/>
    <w:rsid w:val="008C1FBC"/>
    <w:rsid w:val="008C4E18"/>
    <w:rsid w:val="008D3035"/>
    <w:rsid w:val="008E34EA"/>
    <w:rsid w:val="008E4923"/>
    <w:rsid w:val="008E4E55"/>
    <w:rsid w:val="008E6590"/>
    <w:rsid w:val="008F2337"/>
    <w:rsid w:val="008F2553"/>
    <w:rsid w:val="008F2A48"/>
    <w:rsid w:val="008F3C50"/>
    <w:rsid w:val="008F47B2"/>
    <w:rsid w:val="008F68FE"/>
    <w:rsid w:val="008F703E"/>
    <w:rsid w:val="009021C8"/>
    <w:rsid w:val="009070A9"/>
    <w:rsid w:val="00915C38"/>
    <w:rsid w:val="009225EB"/>
    <w:rsid w:val="00930A5E"/>
    <w:rsid w:val="0093298D"/>
    <w:rsid w:val="00933165"/>
    <w:rsid w:val="0093760F"/>
    <w:rsid w:val="00937D83"/>
    <w:rsid w:val="00942766"/>
    <w:rsid w:val="00951781"/>
    <w:rsid w:val="009543EA"/>
    <w:rsid w:val="00954421"/>
    <w:rsid w:val="0095469B"/>
    <w:rsid w:val="009546A9"/>
    <w:rsid w:val="0095521D"/>
    <w:rsid w:val="00956B83"/>
    <w:rsid w:val="00967DB2"/>
    <w:rsid w:val="0097532F"/>
    <w:rsid w:val="00976F4B"/>
    <w:rsid w:val="009837E5"/>
    <w:rsid w:val="00983B42"/>
    <w:rsid w:val="0098452A"/>
    <w:rsid w:val="00985ED2"/>
    <w:rsid w:val="00987777"/>
    <w:rsid w:val="009913EC"/>
    <w:rsid w:val="00991DF9"/>
    <w:rsid w:val="0099487B"/>
    <w:rsid w:val="009A51D9"/>
    <w:rsid w:val="009A7960"/>
    <w:rsid w:val="009B5916"/>
    <w:rsid w:val="009C1566"/>
    <w:rsid w:val="009C2CB2"/>
    <w:rsid w:val="009C604C"/>
    <w:rsid w:val="009D0811"/>
    <w:rsid w:val="009D1B46"/>
    <w:rsid w:val="009D2651"/>
    <w:rsid w:val="009D5A0C"/>
    <w:rsid w:val="009D7537"/>
    <w:rsid w:val="009E43D9"/>
    <w:rsid w:val="009E567C"/>
    <w:rsid w:val="009F71F4"/>
    <w:rsid w:val="00A04E52"/>
    <w:rsid w:val="00A15780"/>
    <w:rsid w:val="00A16617"/>
    <w:rsid w:val="00A17A66"/>
    <w:rsid w:val="00A232C5"/>
    <w:rsid w:val="00A259C1"/>
    <w:rsid w:val="00A27E41"/>
    <w:rsid w:val="00A30CED"/>
    <w:rsid w:val="00A3292B"/>
    <w:rsid w:val="00A32FFB"/>
    <w:rsid w:val="00A3313E"/>
    <w:rsid w:val="00A33AF3"/>
    <w:rsid w:val="00A34023"/>
    <w:rsid w:val="00A34479"/>
    <w:rsid w:val="00A35642"/>
    <w:rsid w:val="00A52FD0"/>
    <w:rsid w:val="00A60A13"/>
    <w:rsid w:val="00A62896"/>
    <w:rsid w:val="00A72153"/>
    <w:rsid w:val="00A73521"/>
    <w:rsid w:val="00A76181"/>
    <w:rsid w:val="00A76A8F"/>
    <w:rsid w:val="00A76DB9"/>
    <w:rsid w:val="00A76FD2"/>
    <w:rsid w:val="00A95238"/>
    <w:rsid w:val="00AA18EC"/>
    <w:rsid w:val="00AA6EA8"/>
    <w:rsid w:val="00AA7CA3"/>
    <w:rsid w:val="00AB2E68"/>
    <w:rsid w:val="00AB4A4D"/>
    <w:rsid w:val="00AD06C7"/>
    <w:rsid w:val="00AD79CF"/>
    <w:rsid w:val="00AE09A3"/>
    <w:rsid w:val="00AE6B27"/>
    <w:rsid w:val="00AF2AB1"/>
    <w:rsid w:val="00AF4C7F"/>
    <w:rsid w:val="00AF677B"/>
    <w:rsid w:val="00AF70E7"/>
    <w:rsid w:val="00B00636"/>
    <w:rsid w:val="00B10112"/>
    <w:rsid w:val="00B143CC"/>
    <w:rsid w:val="00B22ABF"/>
    <w:rsid w:val="00B26C54"/>
    <w:rsid w:val="00B27442"/>
    <w:rsid w:val="00B30CEB"/>
    <w:rsid w:val="00B32292"/>
    <w:rsid w:val="00B33AFF"/>
    <w:rsid w:val="00B3686D"/>
    <w:rsid w:val="00B424B1"/>
    <w:rsid w:val="00B42B66"/>
    <w:rsid w:val="00B4327B"/>
    <w:rsid w:val="00B6174D"/>
    <w:rsid w:val="00B66008"/>
    <w:rsid w:val="00B676B5"/>
    <w:rsid w:val="00B804C3"/>
    <w:rsid w:val="00B80710"/>
    <w:rsid w:val="00B846DC"/>
    <w:rsid w:val="00B848E2"/>
    <w:rsid w:val="00B85A7D"/>
    <w:rsid w:val="00B90283"/>
    <w:rsid w:val="00B92355"/>
    <w:rsid w:val="00BB0088"/>
    <w:rsid w:val="00BB2D68"/>
    <w:rsid w:val="00BB3931"/>
    <w:rsid w:val="00BB44B0"/>
    <w:rsid w:val="00BB74EC"/>
    <w:rsid w:val="00BC3E3F"/>
    <w:rsid w:val="00BD517F"/>
    <w:rsid w:val="00BD6151"/>
    <w:rsid w:val="00BE0217"/>
    <w:rsid w:val="00BE0932"/>
    <w:rsid w:val="00BE29A2"/>
    <w:rsid w:val="00BF1AE7"/>
    <w:rsid w:val="00BF3A3F"/>
    <w:rsid w:val="00BF7654"/>
    <w:rsid w:val="00C035EC"/>
    <w:rsid w:val="00C05F8B"/>
    <w:rsid w:val="00C05FDB"/>
    <w:rsid w:val="00C068F2"/>
    <w:rsid w:val="00C11007"/>
    <w:rsid w:val="00C11E9B"/>
    <w:rsid w:val="00C32054"/>
    <w:rsid w:val="00C457CC"/>
    <w:rsid w:val="00C45878"/>
    <w:rsid w:val="00C47901"/>
    <w:rsid w:val="00C479F4"/>
    <w:rsid w:val="00C47F96"/>
    <w:rsid w:val="00C55AF5"/>
    <w:rsid w:val="00C56506"/>
    <w:rsid w:val="00C66E4E"/>
    <w:rsid w:val="00C70D38"/>
    <w:rsid w:val="00C71A1B"/>
    <w:rsid w:val="00C73E6A"/>
    <w:rsid w:val="00C748C8"/>
    <w:rsid w:val="00C86995"/>
    <w:rsid w:val="00C9098A"/>
    <w:rsid w:val="00CA68E4"/>
    <w:rsid w:val="00CB53F0"/>
    <w:rsid w:val="00CB6DD0"/>
    <w:rsid w:val="00CB72F0"/>
    <w:rsid w:val="00CD52B7"/>
    <w:rsid w:val="00CF1B1F"/>
    <w:rsid w:val="00CF7A63"/>
    <w:rsid w:val="00D003CA"/>
    <w:rsid w:val="00D0088E"/>
    <w:rsid w:val="00D060CE"/>
    <w:rsid w:val="00D07E20"/>
    <w:rsid w:val="00D109F0"/>
    <w:rsid w:val="00D10A0D"/>
    <w:rsid w:val="00D15501"/>
    <w:rsid w:val="00D1604C"/>
    <w:rsid w:val="00D26C90"/>
    <w:rsid w:val="00D26D6A"/>
    <w:rsid w:val="00D30E87"/>
    <w:rsid w:val="00D31CAC"/>
    <w:rsid w:val="00D337C0"/>
    <w:rsid w:val="00D337F0"/>
    <w:rsid w:val="00D35E4E"/>
    <w:rsid w:val="00D36AA7"/>
    <w:rsid w:val="00D430D1"/>
    <w:rsid w:val="00D44EBD"/>
    <w:rsid w:val="00D4540E"/>
    <w:rsid w:val="00D57254"/>
    <w:rsid w:val="00D61D91"/>
    <w:rsid w:val="00D62CC0"/>
    <w:rsid w:val="00D717B1"/>
    <w:rsid w:val="00D71AE7"/>
    <w:rsid w:val="00D7326A"/>
    <w:rsid w:val="00D75A4A"/>
    <w:rsid w:val="00D8359F"/>
    <w:rsid w:val="00D83DD3"/>
    <w:rsid w:val="00D847CB"/>
    <w:rsid w:val="00D93901"/>
    <w:rsid w:val="00DA29A2"/>
    <w:rsid w:val="00DA353C"/>
    <w:rsid w:val="00DB2FEA"/>
    <w:rsid w:val="00DB6760"/>
    <w:rsid w:val="00DC5B09"/>
    <w:rsid w:val="00DC7895"/>
    <w:rsid w:val="00DC7B6A"/>
    <w:rsid w:val="00DD01A6"/>
    <w:rsid w:val="00DD13DC"/>
    <w:rsid w:val="00DD1F97"/>
    <w:rsid w:val="00DD3CE9"/>
    <w:rsid w:val="00DD74F3"/>
    <w:rsid w:val="00DD7525"/>
    <w:rsid w:val="00DE0D50"/>
    <w:rsid w:val="00DE689E"/>
    <w:rsid w:val="00DE742C"/>
    <w:rsid w:val="00DF1D62"/>
    <w:rsid w:val="00DF2A83"/>
    <w:rsid w:val="00DF7022"/>
    <w:rsid w:val="00E01711"/>
    <w:rsid w:val="00E03C53"/>
    <w:rsid w:val="00E05440"/>
    <w:rsid w:val="00E079F8"/>
    <w:rsid w:val="00E07A5E"/>
    <w:rsid w:val="00E10445"/>
    <w:rsid w:val="00E11AFF"/>
    <w:rsid w:val="00E1491B"/>
    <w:rsid w:val="00E21F86"/>
    <w:rsid w:val="00E333E0"/>
    <w:rsid w:val="00E36423"/>
    <w:rsid w:val="00E367A2"/>
    <w:rsid w:val="00E4317F"/>
    <w:rsid w:val="00E540D8"/>
    <w:rsid w:val="00E54164"/>
    <w:rsid w:val="00E56FE6"/>
    <w:rsid w:val="00E64527"/>
    <w:rsid w:val="00E70734"/>
    <w:rsid w:val="00E742D9"/>
    <w:rsid w:val="00E758D2"/>
    <w:rsid w:val="00E81648"/>
    <w:rsid w:val="00E83CCC"/>
    <w:rsid w:val="00E8425E"/>
    <w:rsid w:val="00E936B9"/>
    <w:rsid w:val="00EA1206"/>
    <w:rsid w:val="00EA2544"/>
    <w:rsid w:val="00EB2460"/>
    <w:rsid w:val="00EB32CD"/>
    <w:rsid w:val="00EB3446"/>
    <w:rsid w:val="00EB37B6"/>
    <w:rsid w:val="00EB44DB"/>
    <w:rsid w:val="00EB7D8C"/>
    <w:rsid w:val="00EC7CAF"/>
    <w:rsid w:val="00EE00BA"/>
    <w:rsid w:val="00EE134D"/>
    <w:rsid w:val="00EE370A"/>
    <w:rsid w:val="00EE6375"/>
    <w:rsid w:val="00EF0089"/>
    <w:rsid w:val="00EF3ED4"/>
    <w:rsid w:val="00EF5356"/>
    <w:rsid w:val="00EF694F"/>
    <w:rsid w:val="00F00A05"/>
    <w:rsid w:val="00F0177D"/>
    <w:rsid w:val="00F05E11"/>
    <w:rsid w:val="00F20012"/>
    <w:rsid w:val="00F232AD"/>
    <w:rsid w:val="00F26DB2"/>
    <w:rsid w:val="00F3165A"/>
    <w:rsid w:val="00F318EE"/>
    <w:rsid w:val="00F40524"/>
    <w:rsid w:val="00F41ECF"/>
    <w:rsid w:val="00F50357"/>
    <w:rsid w:val="00F51CB9"/>
    <w:rsid w:val="00F55A9E"/>
    <w:rsid w:val="00F653B7"/>
    <w:rsid w:val="00F7239A"/>
    <w:rsid w:val="00F73224"/>
    <w:rsid w:val="00F73B1D"/>
    <w:rsid w:val="00F74C8E"/>
    <w:rsid w:val="00F778F0"/>
    <w:rsid w:val="00F870DC"/>
    <w:rsid w:val="00F951D1"/>
    <w:rsid w:val="00F95AF1"/>
    <w:rsid w:val="00FA009A"/>
    <w:rsid w:val="00FA023C"/>
    <w:rsid w:val="00FC1E7A"/>
    <w:rsid w:val="00FC65CD"/>
    <w:rsid w:val="00FD1581"/>
    <w:rsid w:val="00FD3C7F"/>
    <w:rsid w:val="00FD4192"/>
    <w:rsid w:val="00FE43E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C964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34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  <w:style w:type="paragraph" w:styleId="aff0">
    <w:name w:val="Normal (Web)"/>
    <w:uiPriority w:val="99"/>
    <w:unhideWhenUsed/>
    <w:qFormat/>
    <w:rsid w:val="008A2821"/>
    <w:pPr>
      <w:suppressAutoHyphens w:val="0"/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454257&amp;dst=2920&amp;date=10.10.202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10.127.115/%D0%A0%D1%83%D0%B1%D1%80%D0%B8%D0%BA%D0%B0%D1%82%D0%BE%D1%80_2021/reglam/html/060.shtm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10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2995F-1164-420A-B47C-DC7F7EF6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32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Молярова Л.М.</cp:lastModifiedBy>
  <cp:revision>19</cp:revision>
  <cp:lastPrinted>2024-12-27T10:48:00Z</cp:lastPrinted>
  <dcterms:created xsi:type="dcterms:W3CDTF">2024-12-25T12:52:00Z</dcterms:created>
  <dcterms:modified xsi:type="dcterms:W3CDTF">2024-12-27T11:23:00Z</dcterms:modified>
  <dc:language>ru-RU</dc:language>
</cp:coreProperties>
</file>